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22ª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22/04/2025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2Coríntios 3, versículos 1 a 6 – A nova aliança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lineRule="auto" w:line="240" w:before="0" w:after="57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pt-BR" w:eastAsia="zh-CN" w:bidi="ar-SA"/>
        </w:rPr>
        <w:t>9h45 – Participa da reunião o Diretor da Escola do Legislativo, Ricardo Simas para falar sobre as atividades alusivas aos 178 anos da Câmara Municipal de Uruguaiana.</w:t>
      </w:r>
    </w:p>
    <w:p>
      <w:pPr>
        <w:pStyle w:val="BodyText"/>
        <w:bidi w:val="0"/>
        <w:spacing w:lineRule="auto" w:line="240" w:before="0" w:after="57"/>
        <w:jc w:val="both"/>
        <w:rPr>
          <w:rStyle w:val="Strong"/>
          <w:rFonts w:ascii="Calibri" w:hAnsi="Calibri" w:eastAsia="Times New Roman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pt-BR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pt-BR" w:eastAsia="zh-CN" w:bidi="ar-SA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informações, estudo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e índices de moradores em situação de rua ou extrema vulnerabilidade social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 município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envio da carreta da saúde à Vila de João Arregui para realização de atendimentos médicos e odontológicos.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manutenção da Rua José Garibaldi, entre as Ruas 7 de Setembro e Gen. Flores da Cunha.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em placa de Ônibus localizada na rua Borges da Costa.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456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substituição de lâmpadas na Rua Tiradentes.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457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retirada de lixo acumulado em via pública no Bairro Ipiranga.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458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limpeza e reparos na Praça Dom Pedro II (Parcão).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459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remoção de árvore no Bairro Promorar II.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460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remoção da vegetação em terreno baldio na Rua Júlio de Castilhos.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461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estudo técnico sobre a capacidade e adequação da rede elétrica das unidades da Estratégia de Saúde da Família (ESF).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462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retirada de lixo acumulado e o fechamento de esgoto a céu aberto no Bairro Cidade Alegria.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463</w:t>
      </w: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Verª. Lilian Cuty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implantação de programa de melhorias na infraestrutura de ruas e escoamento de águas pluviais no Bairro União da Vilas.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 w:val="false"/>
          <w:position w:val="0"/>
          <w:sz w:val="24"/>
          <w:sz w:val="24"/>
          <w:shd w:fill="auto" w:val="clear"/>
          <w:vertAlign w:val="baseline"/>
        </w:rPr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181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Ver. Celso Duarte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 xml:space="preserve">a realização de ações de prevenção e conscientização sobre o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câncer de boca no mês de maio.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397" w:top="1477" w:footer="0" w:bottom="3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182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Celso Duarte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a implementação do sistema Fast-Track na Unidade de Pronto Atendimento (UPA).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>83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Verª. Lilian Cuty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hd w:fill="auto" w:val="clear"/>
          <w:vertAlign w:val="baseline"/>
        </w:rPr>
        <w:t>programa de cursos de LIBRAS para atendentes na rede Pública Municipal.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color w:val="auto"/>
        </w:rPr>
      </w:pPr>
      <w:r>
        <w:rPr>
          <w:color w:val="auto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/>
        </w:rPr>
      </w:pPr>
      <w:r>
        <w:rPr>
          <w:rStyle w:val="Strong"/>
          <w:rFonts w:ascii="Calibri" w:hAnsi="Calibri"/>
          <w:b/>
          <w:bCs/>
          <w:color w:val="auto"/>
        </w:rPr>
        <w:t xml:space="preserve">Moção nº 96 – Verª. Lilian Cuty 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a Srª Geci Conceição da Silva Ferreira, Agente Comunitária de Saúde.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 w:val="false"/>
          <w:bCs/>
          <w:color w:val="auto"/>
        </w:rPr>
      </w:pPr>
      <w:r>
        <w:rPr>
          <w:rFonts w:ascii="Calibri" w:hAnsi="Calibri"/>
          <w:b w:val="false"/>
          <w:bCs/>
          <w:color w:val="auto"/>
        </w:rPr>
      </w:r>
    </w:p>
    <w:p>
      <w:pPr>
        <w:pStyle w:val="Normal"/>
        <w:shd w:val="clear" w:fill="FFFFFF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DISCUSSÃO e VOTAÇÃO ÚNICAS: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Parecer nº 01 – Comissão CJR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Parecer</w:t>
      </w:r>
      <w:r>
        <w:rPr>
          <w:rStyle w:val="Strong"/>
          <w:rFonts w:eastAsia="Times New Roman" w:cs="Calibri" w:ascii="Calibri" w:hAnsi="Calibri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Desfavorável ao Projeto de Lei nº 34/2025 que Dispõe sobre o direito ao recesso escolar de meio de ano para auxiliares pedagógicos, serventes e merendeiras, guardas escolares, secretários e auxiliares de secretaria da rede municipal de ensino, e dá outras providências.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pPr>
      <w:r>
        <w:rPr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</w:t>
      </w: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528 a 551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 e Autógrafo nº 34.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</w:rPr>
      </w:r>
    </w:p>
    <w:sectPr>
      <w:type w:val="continuous"/>
      <w:pgSz w:w="11906" w:h="16838"/>
      <w:pgMar w:left="1134" w:right="850" w:gutter="0" w:header="397" w:top="1477" w:footer="0" w:bottom="34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11717</TotalTime>
  <Application>LibreOffice/25.2.0.3$Windows_X86_64 LibreOffice_project/e1cf4a87eb02d755bce1a01209907ea5ddc8f069</Application>
  <AppVersion>15.0000</AppVersion>
  <Pages>2</Pages>
  <Words>483</Words>
  <Characters>2660</Characters>
  <CharactersWithSpaces>3162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2025-04-16T15:39:19Z</cp:lastPrinted>
  <dcterms:modified xsi:type="dcterms:W3CDTF">2025-04-17T15:42:13Z</dcterms:modified>
  <cp:revision>3111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