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.12.2024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Distribuição: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148/2024 </w:t>
      </w:r>
      <w:r>
        <w:rPr>
          <w:rFonts w:ascii="Arial" w:hAnsi="Arial"/>
        </w:rPr>
        <w:t>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anexo da Lei nº5.543/2023, de 29 de junho de 2023, que ¨Dispõe sobre o Quadro de Cargos em Comissão e Funções Gratificadas da Câmara Municipal.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1 - Processo Administrativo nº 219/2024 – “</w:t>
      </w:r>
      <w:r>
        <w:rPr>
          <w:rFonts w:ascii="Arial" w:hAnsi="Arial"/>
          <w:b w:val="false"/>
          <w:bCs w:val="false"/>
        </w:rPr>
        <w:t>Solicitação relativa as condições da Vila Nova”.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bCs/>
        </w:rPr>
        <w:t>2-  Conversar com Ver. Clemente Corrêa à respeito do vídeo sobre a Thaís hospital Santa Casa.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3 – Requerimento Nº 487/2024 – Convocação dos responsáveis pela parte de informática da prefeitura de Uruguaiana, para que prestem esclarecimentos sobre possíveis ataques nas redes da prefeitura.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Paulo Kleinubing.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2609</TotalTime>
  <Application>LibreOffice/7.5.9.2$Windows_X86_64 LibreOffice_project/cdeefe45c17511d326101eed8008ac4092f278a9</Application>
  <AppVersion>15.0000</AppVersion>
  <Pages>1</Pages>
  <Words>201</Words>
  <Characters>1179</Characters>
  <CharactersWithSpaces>1395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2024-12-02T08:22:12Z</cp:lastPrinted>
  <dcterms:modified xsi:type="dcterms:W3CDTF">2024-12-11T08:46:13Z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