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left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                                          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RELAÇÃO DE MATÉRIAS EM TRÂMITE 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COMISSÃO DE FINANÇAS E ORÇAMENTOS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DIA 04.11.2024 (Segunda-feira) , às 09:30h. </w:t>
      </w:r>
    </w:p>
    <w:p>
      <w:pPr>
        <w:pStyle w:val="Corpodotexto"/>
        <w:jc w:val="center"/>
        <w:rPr>
          <w:rFonts w:ascii="Calibri" w:hAnsi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color w:val="000000"/>
          <w:sz w:val="26"/>
          <w:szCs w:val="26"/>
          <w:u w:val="single"/>
        </w:rPr>
      </w:pPr>
      <w:r>
        <w:rPr>
          <w:rFonts w:ascii="Calibri" w:hAnsi="Calibri"/>
          <w:b/>
          <w:bCs/>
          <w:color w:val="000000"/>
          <w:sz w:val="26"/>
          <w:szCs w:val="26"/>
          <w:u w:val="single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  <w:color w:val="000000"/>
          <w:sz w:val="26"/>
          <w:szCs w:val="26"/>
          <w:u w:val="single"/>
        </w:rPr>
        <w:t>DISTRIBUIR: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tLeast" w:line="100" w:before="0" w:after="0"/>
        <w:ind w:left="0" w:right="0" w:hanging="15"/>
        <w:jc w:val="left"/>
        <w:rPr>
          <w:rFonts w:ascii="Arial" w:hAnsi="Arial"/>
        </w:rPr>
      </w:pPr>
      <w:r>
        <w:rPr>
          <w:rFonts w:ascii="Arial" w:hAnsi="Arial"/>
          <w:b/>
          <w:bCs/>
          <w:color w:val="000000"/>
          <w:sz w:val="26"/>
          <w:szCs w:val="26"/>
          <w:u w:val="none"/>
        </w:rPr>
        <w:t xml:space="preserve">PL Nº 126/2024 - </w:t>
      </w:r>
      <w:r>
        <w:rPr>
          <w:rFonts w:ascii="Arial" w:hAnsi="Arial"/>
          <w:b w:val="false"/>
          <w:bCs w:val="false"/>
          <w:color w:val="000000"/>
          <w:sz w:val="26"/>
          <w:szCs w:val="26"/>
          <w:u w:val="none"/>
        </w:rPr>
        <w:t>“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  <w:szCs w:val="26"/>
        </w:rPr>
        <w:t>Autoriza o Município a proceder à concessão de uso, a título oneroso, de áreas e instalações do local denominado “Cantão”, no 5º Distrito – São Marcos, do município de Uruguaiana/RS, e, dá outras providências”.</w:t>
      </w:r>
      <w:r>
        <w:rPr>
          <w:rFonts w:ascii="Arial" w:hAnsi="Arial"/>
          <w:b w:val="false"/>
          <w:bCs w:val="false"/>
          <w:color w:val="000000"/>
          <w:sz w:val="26"/>
          <w:szCs w:val="26"/>
        </w:rPr>
        <w:t xml:space="preserve"> </w:t>
      </w:r>
    </w:p>
    <w:p>
      <w:pPr>
        <w:pStyle w:val="Normal"/>
        <w:spacing w:lineRule="atLeast" w:line="100" w:before="0" w:after="0"/>
        <w:ind w:left="0" w:right="0" w:hanging="15"/>
        <w:jc w:val="left"/>
        <w:rPr>
          <w:rFonts w:ascii="Arial" w:hAnsi="Arial"/>
        </w:rPr>
      </w:pPr>
      <w:r>
        <w:rPr>
          <w:rFonts w:ascii="Arial" w:hAnsi="Arial"/>
          <w:b/>
          <w:bCs/>
          <w:color w:val="000000"/>
          <w:sz w:val="26"/>
          <w:szCs w:val="26"/>
        </w:rPr>
        <w:t>Autoria: Executivo Municipal.</w:t>
      </w:r>
    </w:p>
    <w:p>
      <w:pPr>
        <w:pStyle w:val="Normal"/>
        <w:spacing w:lineRule="atLeast" w:line="100" w:before="0" w:after="0"/>
        <w:ind w:left="0" w:right="0" w:hanging="15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 w:before="0" w:after="0"/>
        <w:ind w:left="0" w:right="0" w:hanging="15"/>
        <w:jc w:val="left"/>
        <w:rPr>
          <w:rFonts w:ascii="Arial" w:hAnsi="Arial"/>
        </w:rPr>
      </w:pPr>
      <w:r>
        <w:rPr>
          <w:rFonts w:ascii="Arial" w:hAnsi="Arial"/>
          <w:b/>
          <w:bCs/>
          <w:color w:val="000000"/>
          <w:sz w:val="26"/>
          <w:szCs w:val="26"/>
        </w:rPr>
        <w:t xml:space="preserve">PL Nº 133/2024 - </w:t>
      </w:r>
      <w:r>
        <w:rPr>
          <w:rFonts w:ascii="Arial" w:hAnsi="Arial"/>
          <w:b w:val="false"/>
          <w:bCs w:val="false"/>
          <w:color w:val="000000"/>
          <w:sz w:val="26"/>
          <w:szCs w:val="26"/>
        </w:rPr>
        <w:t>“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  <w:szCs w:val="26"/>
        </w:rPr>
        <w:t>Autoriza a abertura de crédito adicional suplementar, no Orçamento vigente, no valor de R$ 7.648.360,00”.</w:t>
      </w:r>
      <w:r>
        <w:rPr>
          <w:rFonts w:ascii="Arial" w:hAnsi="Arial"/>
          <w:b w:val="false"/>
          <w:bCs w:val="false"/>
          <w:color w:val="000000"/>
          <w:sz w:val="26"/>
          <w:szCs w:val="26"/>
        </w:rPr>
        <w:t xml:space="preserve"> </w:t>
      </w:r>
    </w:p>
    <w:p>
      <w:pPr>
        <w:pStyle w:val="Normal"/>
        <w:spacing w:lineRule="atLeast" w:line="100" w:before="0" w:after="0"/>
        <w:ind w:left="0" w:right="0" w:hanging="15"/>
        <w:jc w:val="left"/>
        <w:rPr>
          <w:rFonts w:ascii="Arial" w:hAnsi="Arial"/>
        </w:rPr>
      </w:pPr>
      <w:r>
        <w:rPr>
          <w:rFonts w:ascii="Arial" w:hAnsi="Arial"/>
          <w:b/>
          <w:bCs/>
          <w:color w:val="000000"/>
          <w:sz w:val="26"/>
          <w:szCs w:val="26"/>
        </w:rPr>
        <w:t>Autoria: Executivo Municipal.</w:t>
      </w:r>
    </w:p>
    <w:p>
      <w:pPr>
        <w:pStyle w:val="Normal"/>
        <w:spacing w:lineRule="atLeast" w:line="100" w:before="0" w:after="0"/>
        <w:ind w:left="0" w:right="0" w:hanging="15"/>
        <w:jc w:val="left"/>
        <w:rPr>
          <w:rFonts w:ascii="Arial" w:hAnsi="Arial"/>
          <w:color w:val="000000"/>
          <w:sz w:val="26"/>
          <w:szCs w:val="26"/>
        </w:rPr>
      </w:pPr>
      <w:r>
        <w:rPr>
          <w:rFonts w:ascii="Arial" w:hAnsi="Arial"/>
          <w:color w:val="000000"/>
          <w:sz w:val="26"/>
          <w:szCs w:val="26"/>
        </w:rPr>
      </w:r>
    </w:p>
    <w:p>
      <w:pPr>
        <w:pStyle w:val="Normal"/>
        <w:spacing w:lineRule="atLeast" w:line="100" w:before="0" w:after="0"/>
        <w:ind w:left="0" w:right="0" w:hanging="15"/>
        <w:jc w:val="left"/>
        <w:rPr>
          <w:rFonts w:ascii="Arial" w:hAnsi="Arial"/>
        </w:rPr>
      </w:pPr>
      <w:r>
        <w:rPr>
          <w:rFonts w:ascii="Arial" w:hAnsi="Arial"/>
          <w:b/>
          <w:bCs/>
          <w:color w:val="000000"/>
          <w:sz w:val="26"/>
          <w:szCs w:val="26"/>
        </w:rPr>
        <w:t xml:space="preserve">PL Nº 134/2024 - </w:t>
      </w:r>
      <w:r>
        <w:rPr>
          <w:rFonts w:ascii="Arial" w:hAnsi="Arial"/>
          <w:b w:val="false"/>
          <w:bCs w:val="false"/>
          <w:color w:val="000000"/>
          <w:sz w:val="26"/>
          <w:szCs w:val="26"/>
        </w:rPr>
        <w:t>“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Autoriza a abertura de crédito adicional especial, no Orçamento vigente, no valor de R$ 270.571,00”.</w:t>
      </w:r>
    </w:p>
    <w:p>
      <w:pPr>
        <w:pStyle w:val="Normal"/>
        <w:spacing w:lineRule="atLeast" w:line="100" w:before="0" w:after="0"/>
        <w:ind w:left="0" w:right="0" w:hanging="15"/>
        <w:jc w:val="left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>Autoria: Executivo Municipal.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PL Nº 136/2024 - </w:t>
      </w:r>
      <w:r>
        <w:rPr>
          <w:rFonts w:ascii="Arial" w:hAnsi="Arial"/>
          <w:b w:val="false"/>
          <w:bCs w:val="false"/>
        </w:rPr>
        <w:t>“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>Autoriza a abertura de crédito adicional suplementar, no Orçamento vigente, no valor de R$ 243.000,00”.</w:t>
      </w:r>
      <w:r>
        <w:rPr>
          <w:rFonts w:ascii="Arial" w:hAnsi="Arial"/>
          <w:b w:val="false"/>
          <w:bCs w:val="false"/>
        </w:rPr>
        <w:t xml:space="preserve"> 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b/>
          <w:bCs/>
        </w:rPr>
      </w:pPr>
      <w:r>
        <w:rPr>
          <w:rFonts w:ascii="Arial" w:hAnsi="Arial"/>
          <w:b/>
          <w:bCs/>
        </w:rPr>
        <w:t>Autoria: Executivo Municipal.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  <w:color w:val="000000"/>
          <w:sz w:val="26"/>
          <w:szCs w:val="26"/>
          <w:u w:val="single"/>
        </w:rPr>
        <w:tab/>
        <w:t>AGUARDANDO PARECER: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  <w:b/>
          <w:bCs/>
          <w:i w:val="false"/>
          <w:i w:val="false"/>
          <w:caps w:val="false"/>
          <w:smallCaps w:val="false"/>
          <w:color w:val="000000"/>
          <w:spacing w:val="0"/>
          <w:sz w:val="26"/>
          <w:szCs w:val="26"/>
          <w:u w:val="none"/>
          <w:shd w:fill="FFFFFF" w:val="clear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u w:val="none"/>
          <w:shd w:fill="FFFFFF" w:val="clear"/>
        </w:rPr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PL 131/2024 – </w:t>
      </w:r>
      <w:r>
        <w:rPr>
          <w:rFonts w:ascii="Arial" w:hAnsi="Arial"/>
          <w:b w:val="false"/>
          <w:bCs w:val="false"/>
        </w:rPr>
        <w:t>“Estima a receita e fixa a despesa do Município para o exercício financeiro de 2025.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Autoria: Poder Executivo.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Relatoria: Juca (Expediente)</w:t>
      </w:r>
    </w:p>
    <w:p>
      <w:pPr>
        <w:pStyle w:val="Normal"/>
        <w:spacing w:lineRule="atLeast" w:line="100" w:before="0" w:after="0"/>
        <w:ind w:left="0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1134" w:top="2784" w:footer="1134" w:bottom="15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1"/>
    <w:family w:val="swiss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100" w:after="119"/>
      <w:ind w:left="0" w:right="360" w:hanging="0"/>
      <w:jc w:val="left"/>
      <w:rPr>
        <w:rFonts w:ascii="Times New Roman" w:hAnsi="Times New Roman" w:eastAsia="TimesNewRomanPSMT" w:cs="DejaVu Serif Condensed"/>
        <w:b w:val="false"/>
        <w:bCs w:val="false"/>
        <w:color w:val="0000FF"/>
        <w:sz w:val="18"/>
        <w:szCs w:val="18"/>
        <w:lang w:val="pt-BR"/>
      </w:rPr>
    </w:pPr>
    <w:r>
      <w:rPr>
        <w:rFonts w:eastAsia="TimesNewRomanPSMT" w:cs="DejaVu Serif Condensed"/>
        <w:b w:val="false"/>
        <w:bCs w:val="false"/>
        <w:color w:val="0000FF"/>
        <w:sz w:val="18"/>
        <w:szCs w:val="18"/>
        <w:lang w:val="pt-BR"/>
      </w:rPr>
      <w:tab/>
      <w:tab/>
      <w:tab/>
      <w:tab/>
      <w:tab/>
      <w:tab/>
      <w:tab/>
      <w:t xml:space="preserve">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Verdana" w:hAnsi="Verdana" w:cs="Verdana"/>
        <w:sz w:val="16"/>
        <w:szCs w:val="16"/>
      </w:rPr>
    </w:pPr>
    <w:r>
      <w:rPr>
        <w:rFonts w:cs="Verdana" w:ascii="Verdana" w:hAnsi="Verdana"/>
        <w:sz w:val="16"/>
        <w:szCs w:val="16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50800</wp:posOffset>
          </wp:positionH>
          <wp:positionV relativeFrom="paragraph">
            <wp:posOffset>97155</wp:posOffset>
          </wp:positionV>
          <wp:extent cx="1057275" cy="105727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0" t="-340" r="-340" b="-340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ESTADO DO RIO GRANDE DO SUL</w:t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PODER LEGISLATIVO</w:t>
    </w:r>
  </w:p>
  <w:p>
    <w:pPr>
      <w:pStyle w:val="Cabealho"/>
      <w:jc w:val="center"/>
      <w:rPr>
        <w:rFonts w:ascii="Times New Roman" w:hAnsi="Times New Roman" w:cs="Times New Roman"/>
        <w:b/>
        <w:sz w:val="26"/>
        <w:szCs w:val="26"/>
      </w:rPr>
    </w:pPr>
    <w:r>
      <w:rPr>
        <w:rFonts w:cs="Times New Roman"/>
        <w:b/>
        <w:sz w:val="26"/>
        <w:szCs w:val="26"/>
      </w:rPr>
      <w:t>CÂMARA MUNICIPAL DE URUGUAIANA</w:t>
    </w:r>
  </w:p>
  <w:p>
    <w:pPr>
      <w:pStyle w:val="Cabealho"/>
      <w:jc w:val="center"/>
      <w:rPr>
        <w:rFonts w:ascii="Times New Roman" w:hAnsi="Times New Roman" w:cs="Times New Roman"/>
        <w:b w:val="false"/>
        <w:bCs w:val="false"/>
        <w:color w:val="000000"/>
        <w:sz w:val="26"/>
        <w:szCs w:val="26"/>
      </w:rPr>
    </w:pPr>
    <w:r>
      <w:rPr>
        <w:rFonts w:cs="Times New Roman"/>
        <w:b w:val="false"/>
        <w:bCs w:val="false"/>
        <w:color w:val="000000"/>
        <w:sz w:val="26"/>
        <w:szCs w:val="26"/>
      </w:rPr>
      <w:t>PALÁCIO BORGES DE MEDEIROS</w:t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</w:hdr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2"/>
      <w:sz w:val="24"/>
      <w:szCs w:val="24"/>
      <w:lang w:val="pt-BR" w:eastAsia="en-US" w:bidi="en-US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Strong">
    <w:name w:val="Strong"/>
    <w:qFormat/>
    <w:rPr>
      <w:b/>
      <w:bCs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WW-Absatz-Standardschriftart112">
    <w:name w:val="WW-Absatz-Standardschriftart112"/>
    <w:qFormat/>
    <w:rPr/>
  </w:style>
  <w:style w:type="character" w:styleId="WW-Absatz-Standardschriftart121">
    <w:name w:val="WW-Absatz-Standardschriftart121"/>
    <w:qFormat/>
    <w:rPr/>
  </w:style>
  <w:style w:type="character" w:styleId="Fontepargpadro">
    <w:name w:val="Fonte parág. padrão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2">
    <w:name w:val="WW-Absatz-Standardschriftart12"/>
    <w:qFormat/>
    <w:rPr/>
  </w:style>
  <w:style w:type="character" w:styleId="Caracteresdenotaderodap">
    <w:name w:val="Caracteres de nota de rodapé"/>
    <w:qFormat/>
    <w:rPr/>
  </w:style>
  <w:style w:type="character" w:styleId="Smbolosdenumerao">
    <w:name w:val="Símbolos de numeração"/>
    <w:qFormat/>
    <w:rPr/>
  </w:style>
  <w:style w:type="character" w:styleId="Caracteresdenotadefim">
    <w:name w:val="Caracteres de nota de fim"/>
    <w:qFormat/>
    <w:rPr/>
  </w:style>
  <w:style w:type="character" w:styleId="WW-Fontepargpadro">
    <w:name w:val="WW-Fonte parág. padrão"/>
    <w:qFormat/>
    <w:rPr/>
  </w:style>
  <w:style w:type="character" w:styleId="Marcadores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Nfase">
    <w:name w:val="Emphasis"/>
    <w:qFormat/>
    <w:rPr>
      <w:i/>
      <w:iCs/>
    </w:rPr>
  </w:style>
  <w:style w:type="character" w:styleId="Linkdainternetvisitado">
    <w:name w:val="FollowedHyperlink"/>
    <w:rPr>
      <w:color w:val="8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NormalWeb">
    <w:name w:val="Normal (Web)"/>
    <w:basedOn w:val="Normal"/>
    <w:qFormat/>
    <w:pPr>
      <w:spacing w:before="100" w:after="119"/>
    </w:pPr>
    <w:rPr>
      <w:rFonts w:ascii="Times New Roman" w:hAnsi="Times New Roman" w:eastAsia="MS Mincho;ＭＳ 明朝" w:cs="Times New Roman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CITAO">
    <w:name w:val="CITAÇÃO"/>
    <w:basedOn w:val="Normal"/>
    <w:qFormat/>
    <w:pPr>
      <w:spacing w:lineRule="auto" w:line="360" w:before="0" w:after="0"/>
      <w:ind w:left="1701" w:right="1701" w:firstLine="425"/>
      <w:jc w:val="both"/>
    </w:pPr>
    <w:rPr>
      <w:rFonts w:ascii="Courier New" w:hAnsi="Courier New" w:cs="Courier New"/>
      <w:i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audaesfinais">
    <w:name w:val="Salutation"/>
    <w:basedOn w:val="Normal"/>
    <w:pPr/>
    <w:rPr/>
  </w:style>
  <w:style w:type="paragraph" w:styleId="Contedodatabela">
    <w:name w:val="Conteúdo da tabela"/>
    <w:basedOn w:val="Corpodotexto"/>
    <w:qFormat/>
    <w:pPr>
      <w:suppressLineNumbers/>
    </w:pPr>
    <w:rPr/>
  </w:style>
  <w:style w:type="paragraph" w:styleId="CABORTEIRO">
    <w:name w:val="CABORTEIRO"/>
    <w:basedOn w:val="Normal"/>
    <w:qFormat/>
    <w:pPr>
      <w:spacing w:lineRule="auto" w:line="360" w:before="0" w:after="0"/>
      <w:ind w:left="0" w:right="0" w:firstLine="709"/>
      <w:jc w:val="both"/>
    </w:pPr>
    <w:rPr>
      <w:sz w:val="26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2340</TotalTime>
  <Application>LibreOffice/7.5.9.2$Windows_X86_64 LibreOffice_project/cdeefe45c17511d326101eed8008ac4092f278a9</Application>
  <AppVersion>15.0000</AppVersion>
  <Pages>1</Pages>
  <Words>164</Words>
  <Characters>947</Characters>
  <CharactersWithSpaces>1164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2024-10-31T13:03:51Z</cp:lastPrinted>
  <dcterms:modified xsi:type="dcterms:W3CDTF">2024-10-31T13:03:59Z</dcterms:modified>
  <cp:revision>736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