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21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.10.2024 (Segunda-feira) , às 09:00h.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Nº 130/2024 -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recursos, a título de subvenção social e auxílio financeiro, ao Hospital Santa Casa de Caridade de Uruguaiana - HSCCU, no valor de R$ 1.000.000,00, destinados à aquisição de medicamentos, materiais e serviços para o Setor de Oncologia e Cardiologia”.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LinkdaInternet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Nº 65/2024 -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Estabelece que o Município de Uruguaiana não poderá recusar laudo médico pericial que ateste Diabetes Mellitus tipo 1 (DM1) em razão da data do exame ou de emissão.</w:t>
      </w:r>
      <w:r>
        <w:rPr>
          <w:rFonts w:ascii="Arial" w:hAnsi="Arial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Autor: 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Relator: Ver.  Joalcei Gonçalves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Nº 121/2024 -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“Declara como Patrimônio Cultural de Natureza Imaterial do Município “A BANDA MUNICIPAL DE URUGUAIANA” e dá outras providências.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Zulma Ancinello.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Relatoria: Clemente Corrêa.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122/2024 - </w:t>
      </w:r>
      <w:r>
        <w:rPr>
          <w:rFonts w:ascii="Arial" w:hAnsi="Arial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Denomina “Professor Ciro Carvalho Leão” a Rua Perimetral nº 731, do Bairro Cidade Nova em Uruguaiana”.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Carlos Delgado.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Clemente Corrêa.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PL Nº 126/2024 -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bCs w:val="false"/>
        </w:rPr>
        <w:t>“Autoriza o Município a proceder à concessão de uso, a título oneroso, de áreas e instalações do local denominado “Cantão”, no 5º Distrito – São Marcos, do município de Uruguaiana/RS, e, dá outras providências”.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Poder Executivo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Ver. Joalcei Gonçalves.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2415</TotalTime>
  <Application>LibreOffice/7.5.9.2$Windows_X86_64 LibreOffice_project/cdeefe45c17511d326101eed8008ac4092f278a9</Application>
  <AppVersion>15.0000</AppVersion>
  <Pages>1</Pages>
  <Words>222</Words>
  <Characters>1234</Characters>
  <CharactersWithSpaces>1464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2024-10-17T13:29:31Z</dcterms:modified>
  <cp:revision>729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