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19.08.2024 (Segunda-feira) , às 09:30h.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>PL 99/2024 - 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R$ 845.000,00”.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Ofício nº 37/2024: SIMUR.</w:t>
      </w:r>
      <w:r>
        <w:rPr>
          <w:rFonts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(Aguarda Deliberação).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r>
    </w:p>
    <w:p>
      <w:pPr>
        <w:pStyle w:val="Normal"/>
        <w:rPr/>
      </w:pPr>
      <w:r>
        <w:rPr>
          <w:rFonts w:ascii="Arial" w:hAnsi="Arial"/>
          <w:b/>
          <w:bCs/>
          <w:color w:val="000000"/>
          <w:sz w:val="26"/>
          <w:szCs w:val="26"/>
          <w:u w:val="none"/>
        </w:rPr>
        <w:t xml:space="preserve">PL 91/2024 - </w:t>
      </w:r>
      <w:r>
        <w:rPr>
          <w:rFonts w:ascii="Arial" w:hAnsi="Arial"/>
          <w:b w:val="false"/>
          <w:bCs w:val="false"/>
          <w:color w:val="000000"/>
          <w:sz w:val="26"/>
          <w:szCs w:val="26"/>
          <w:u w:val="non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Dispõe sobre as Diretrizes Orçamentárias para o exercício financeiro de 2025 e dá outras providências”.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/>
          <w:bCs/>
        </w:rPr>
        <w:t>Relatoria Ver. Joalcei Alves Gonçalves.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  <w:u w:val="none"/>
        </w:rPr>
        <w:t>Balancete nº 08/2024 - “Balancete do mês de junho/2024”. Relatoria Ver. Joalcei Alves Gonçalves.</w:t>
      </w:r>
    </w:p>
    <w:p>
      <w:pPr>
        <w:pStyle w:val="Normal"/>
        <w:rPr>
          <w:rFonts w:ascii="Arial" w:hAnsi="Arial"/>
          <w:b/>
          <w:bCs/>
        </w:rPr>
      </w:pPr>
      <w:r>
        <w:rPr/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78/2024 -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Dá nova redação ao § 3º do art. 3º, da Lei n.º 4.292, de 12 de dezembro de 2013, que “Autoriza o Município proceder à doação de área a Fundição Reciclar Ltda., nas condições que menciona”.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  <w:u w:val="none"/>
        </w:rPr>
        <w:t xml:space="preserve">PL 80/2024 -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  <w:u w:val="none"/>
        </w:rPr>
        <w:t>“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  <w:u w:val="none"/>
        </w:rPr>
        <w:t>I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  <w:u w:val="none"/>
        </w:rPr>
        <w:t xml:space="preserve">nstitui o Seminário Municipal do Meio Ambiente, Sustentabilidade e Bem-Estar Animal, no Município de Uruguaiana”. 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2187</TotalTime>
  <Application>LibreOffice/7.5.9.2$Windows_X86_64 LibreOffice_project/cdeefe45c17511d326101eed8008ac4092f278a9</Application>
  <AppVersion>15.0000</AppVersion>
  <Pages>1</Pages>
  <Words>153</Words>
  <Characters>846</Characters>
  <CharactersWithSpaces>1011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2024-08-19T08:26:35Z</dcterms:modified>
  <cp:revision>712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