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26.08.2024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Calibri" w:hAnsi="Calibri"/>
          <w:b/>
          <w:bCs/>
          <w:color w:val="000000"/>
          <w:sz w:val="26"/>
          <w:szCs w:val="26"/>
          <w:u w:val="none"/>
        </w:rPr>
        <w:t xml:space="preserve">PL 102/2024 - </w:t>
      </w:r>
      <w:r>
        <w:rPr>
          <w:rFonts w:ascii="Calibri" w:hAnsi="Calibri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Autoriza a abertura de crédito adicional especial, no Orçamento vigente, no valor de R$ 3.180.257,66”.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  <w:color w:val="000000"/>
          <w:sz w:val="26"/>
          <w:szCs w:val="26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PL 103/2024 -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Autoriza a abertura de crédito adicional suplementar, no Orçamento vigente, no valor de R$ 11.540.105,88”.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  <w:color w:val="000000"/>
          <w:sz w:val="26"/>
          <w:szCs w:val="26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</w:rPr>
      </w:pPr>
      <w:r>
        <w:rPr>
          <w:rFonts w:ascii="Arial" w:hAnsi="Arial"/>
          <w:b/>
          <w:bCs/>
          <w:color w:val="000000"/>
          <w:sz w:val="26"/>
          <w:szCs w:val="26"/>
        </w:rPr>
        <w:t xml:space="preserve">PL 104/2024 - </w:t>
      </w:r>
      <w:r>
        <w:rPr>
          <w:rFonts w:ascii="Arial" w:hAnsi="Arial"/>
          <w:b w:val="false"/>
          <w:bCs w:val="false"/>
          <w:color w:val="00000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Concede revisão geral anual aos servidores públicos municipais, inativos e pensionistas, em atendimento ao artigo 37, X, da Constituição Federal”.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b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PL 106/2024 -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Dispõe sobre o subsídio mensal dos Vereadores da Câmara Municipal de Uruguaiana para a Legislatura 2025/2028”.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Arial" w:hAnsi="Arial"/>
          <w:b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PL 107/2024 -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Dispõe sobre a fixação e sobre o pagamento do subsídio de Prefeito e Vice-Prefeito para o quadriênio 2025/2028”.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PL 108/2024 -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</w:rPr>
        <w:t>Dispõe sobre a fixação do subsídio dos Secretários Municipais para o quadriênio de 2025/2028”.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/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Ofício nº 37/2024: SIMUR.</w:t>
      </w:r>
      <w:r>
        <w:rPr>
          <w:rFonts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 </w:t>
      </w: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 xml:space="preserve">(Aguarda Deliberação).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pPr>
      <w:r>
        <w:rPr>
          <w:rFonts w:cs="Times New Roman"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</w:r>
    </w:p>
    <w:p>
      <w:pPr>
        <w:pStyle w:val="Normal"/>
        <w:rPr/>
      </w:pPr>
      <w:r>
        <w:rPr>
          <w:rFonts w:ascii="Arial" w:hAnsi="Arial"/>
          <w:b/>
          <w:bCs/>
          <w:color w:val="000000"/>
          <w:sz w:val="26"/>
          <w:szCs w:val="26"/>
          <w:u w:val="none"/>
        </w:rPr>
        <w:t xml:space="preserve">PL 91/2024 - </w:t>
      </w:r>
      <w:r>
        <w:rPr>
          <w:rFonts w:ascii="Arial" w:hAnsi="Arial"/>
          <w:b w:val="false"/>
          <w:bCs w:val="false"/>
          <w:color w:val="000000"/>
          <w:sz w:val="26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Dispõe sobre as Diretrizes Orçamentárias para o exercício financeiro de 2025 e dá outras providências”.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/>
          <w:bCs/>
        </w:rPr>
        <w:t>Relatoria Ver. Joalcei Alves Gonçalves.</w:t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78/2024 -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Dá nova redação ao § 3º do art. 3º, da Lei n.º 4.292, de 12 de dezembro de 2013, que “Autoriza o Município proceder à doação de área a Fundição Reciclar Ltda., nas condições que menciona”.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2197</TotalTime>
  <Application>LibreOffice/7.5.9.2$Windows_X86_64 LibreOffice_project/cdeefe45c17511d326101eed8008ac4092f278a9</Application>
  <AppVersion>15.0000</AppVersion>
  <Pages>2</Pages>
  <Words>219</Words>
  <Characters>1201</Characters>
  <CharactersWithSpaces>1431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2024-08-23T09:37:26Z</dcterms:modified>
  <cp:revision>714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