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.08.2024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78/2024 -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Dá nova redação ao § 3º do art. 3º, da Lei n.º 4.292, de 12 de dezembro de 2013, que “Autoriza o Município proceder à doação de área a Fundição Reciclar Ltda., nas condições que menciona”.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  <w:b/>
          <w:bCs/>
        </w:rPr>
        <w:t xml:space="preserve">PL 80/2024 -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I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nstitui o Seminário Municipal do Meio Ambiente, Sustentabilidade e Bem-Estar Animal, no Município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Ofício nº 37/2024: SIMUR.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(Aguarda Deliberação).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88/2024 -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“</w:t>
      </w:r>
      <w:r>
        <w:rPr>
          <w:rFonts w:cs="Times New Roman"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6"/>
          <w:szCs w:val="26"/>
          <w:lang w:eastAsia="en-US" w:bidi="en-US"/>
        </w:rPr>
        <w:t>Denomina-se “Alameda CIRO FERNANDES LIMA” a via de acesso, localizada entre os núcleos K2 e K3, conhecido popularmente como Beco da Coca-Cola ou Brete do Machado em Uruguaiana/RS”.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PL 89/2024 - 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spacing w:val="0"/>
          <w:sz w:val="26"/>
          <w:szCs w:val="26"/>
        </w:rPr>
        <w:t>“</w:t>
      </w:r>
      <w:r>
        <w:rPr>
          <w:rFonts w:cs="Times New Roman"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Cs w:val="26"/>
        </w:rPr>
        <w:t>Denomina “Professora Herondina Maria do Rosario Soares Doval (Tita)”, o Centro de Atenção à Criança e ao Adolescente de Uruguaiana”.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Balancete n° 07/2024 -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Balancete do Mês se Abril/2024 nº 001 à 1.194”.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 Ver. Juca.</w:t>
      </w:r>
    </w:p>
    <w:p>
      <w:pPr>
        <w:pStyle w:val="Normal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PL 91/2024 -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as Diretrizes Orçamentárias para o exercício financeiro de 2025 e dá outras providências”.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/>
          <w:bCs/>
        </w:rPr>
        <w:t>Relatoria Ver. Juca.</w:t>
      </w:r>
    </w:p>
    <w:p>
      <w:pPr>
        <w:pStyle w:val="Normal"/>
        <w:rPr>
          <w:rFonts w:ascii="Arial" w:hAnsi="Arial"/>
          <w:b/>
          <w:bCs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2167</TotalTime>
  <Application>LibreOffice/7.5.9.2$Windows_X86_64 LibreOffice_project/cdeefe45c17511d326101eed8008ac4092f278a9</Application>
  <AppVersion>15.0000</AppVersion>
  <Pages>1</Pages>
  <Words>189</Words>
  <Characters>1011</Characters>
  <CharactersWithSpaces>1211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2024-08-06T13:13:29Z</dcterms:modified>
  <cp:revision>704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