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16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.07.2024 (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Terça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-feira) , às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11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</w:t>
      </w: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 xml:space="preserve"> VOTAÇÃO: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86/2024 - “</w:t>
      </w:r>
      <w:r>
        <w:rPr>
          <w:rFonts w:cs="Times New Roman" w:ascii="Arial" w:hAnsi="Arial"/>
          <w:b w:val="false"/>
          <w:bCs/>
          <w:i w:val="false"/>
          <w:caps w:val="false"/>
          <w:smallCaps w:val="false"/>
          <w:color w:val="212529"/>
          <w:spacing w:val="0"/>
          <w:sz w:val="24"/>
          <w:szCs w:val="26"/>
          <w:lang w:eastAsia="en-US" w:bidi="en-US"/>
        </w:rPr>
        <w:t>Inclui Programa e Ação no Plano Plurianual do Município – PPA 2022/2025 e na Lei de Diretrizes Orçamentárias – LDO 2024, de que tratam, respectivamente, as Leis n.º 5.299, de 11 de novembro de 2021 e n.º 5.584, de 3 de outubro de 2023”.</w:t>
      </w: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87/2024 - “</w:t>
      </w:r>
      <w:r>
        <w:rPr>
          <w:rFonts w:ascii="Arial" w:hAnsi="Arial"/>
          <w:b w:val="false"/>
          <w:i w:val="false"/>
          <w:caps w:val="false"/>
          <w:smallCaps w:val="false"/>
          <w:color w:val="212529"/>
          <w:spacing w:val="0"/>
          <w:sz w:val="24"/>
        </w:rPr>
        <w:t>Autoriza a abertura de crédito adicional especial, no Orçamento vigente, no valor de R$ 300.000,00”.</w:t>
      </w:r>
      <w:r>
        <w:rPr>
          <w:rFonts w:ascii="Arial" w:hAnsi="Arial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2161</TotalTime>
  <Application>LibreOffice/7.5.9.2$Windows_X86_64 LibreOffice_project/cdeefe45c17511d326101eed8008ac4092f278a9</Application>
  <AppVersion>15.0000</AppVersion>
  <Pages>1</Pages>
  <Words>97</Words>
  <Characters>498</Characters>
  <CharactersWithSpaces>613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2024-07-16T10:32:59Z</cp:lastPrinted>
  <dcterms:modified xsi:type="dcterms:W3CDTF">2024-07-16T10:40:42Z</dcterms:modified>
  <cp:revision>698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