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wmf" ContentType="image/x-wmf"/>
  <Override PartName="/word/media/image1.jpeg" ContentType="image/jpeg"/>
  <Override PartName="/word/media/image4.wmf" ContentType="image/x-wmf"/>
  <Override PartName="/word/media/image3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120" w:afterAutospacing="0" w:after="0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LEI N.º </w:t>
      </w:r>
      <w:r>
        <w:rPr>
          <w:b/>
          <w:sz w:val="36"/>
          <w:szCs w:val="36"/>
        </w:rPr>
        <w:t xml:space="preserve">5.382 – de 6 de maio de </w:t>
      </w:r>
      <w:r>
        <w:rPr>
          <w:b/>
          <w:bCs/>
          <w:sz w:val="36"/>
          <w:szCs w:val="36"/>
        </w:rPr>
        <w:t>2022.</w:t>
      </w:r>
    </w:p>
    <w:p>
      <w:pPr>
        <w:pStyle w:val="Ementa"/>
        <w:spacing w:beforeAutospacing="0" w:before="0" w:afterAutospacing="0" w:after="0"/>
        <w:ind w:left="3827" w:hanging="0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Ementa"/>
        <w:spacing w:beforeAutospacing="0" w:before="0" w:afterAutospacing="0" w:after="0"/>
        <w:ind w:left="3686" w:hanging="0"/>
        <w:jc w:val="both"/>
        <w:rPr>
          <w:b/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Dispõe sobre a contratação, por tempo determinado, de Assistentes Sociais; Psicólogos e Cadastradores, vinculados à Secretaria Municipal de Desenvolvimento Social - SEDES.</w:t>
      </w:r>
    </w:p>
    <w:p>
      <w:pPr>
        <w:pStyle w:val="NormalWeb"/>
        <w:spacing w:beforeAutospacing="0" w:before="0" w:afterAutospacing="0" w:after="0"/>
        <w:ind w:firstLine="1077"/>
        <w:jc w:val="both"/>
        <w:rPr>
          <w:rStyle w:val="Strong"/>
          <w:b w:val="false"/>
          <w:b w:val="false"/>
        </w:rPr>
      </w:pPr>
      <w:r>
        <w:rPr>
          <w:b w:val="false"/>
        </w:rPr>
      </w:r>
    </w:p>
    <w:p>
      <w:pPr>
        <w:pStyle w:val="BodyTextIndent3"/>
        <w:spacing w:before="60" w:after="120"/>
        <w:ind w:left="0" w:hanging="0"/>
        <w:rPr>
          <w:b/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O PREFEITO MUNICIPAL DE URUGUAIANA:</w:t>
      </w:r>
    </w:p>
    <w:p>
      <w:pPr>
        <w:pStyle w:val="Normal"/>
        <w:numPr>
          <w:ilvl w:val="0"/>
          <w:numId w:val="1"/>
        </w:numPr>
        <w:suppressAutoHyphens w:val="true"/>
        <w:ind w:right="74" w:firstLine="1134"/>
        <w:jc w:val="both"/>
        <w:rPr>
          <w:b/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Faço saber, em cumprimento ao disposto no artigo 96, inciso IV, da Lei Orgânica do Município, que a Câmara Municipal de Uruguaiana aprovou e eu sanciono a seguinte Lei:</w:t>
      </w:r>
    </w:p>
    <w:p>
      <w:pPr>
        <w:pStyle w:val="NormalWeb"/>
        <w:spacing w:beforeAutospacing="0" w:before="120" w:afterAutospacing="0" w:after="0"/>
        <w:ind w:firstLine="1134"/>
        <w:jc w:val="both"/>
        <w:rPr/>
      </w:pPr>
      <w:hyperlink r:id="rId2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>Art. 1º</w:t>
        </w:r>
      </w:hyperlink>
      <w:r>
        <w:rPr>
          <w:sz w:val="23"/>
          <w:szCs w:val="23"/>
        </w:rPr>
        <w:t xml:space="preserve">  Autoriza o Município a proceder a contratação, nos termos do inciso IX, do artigo 37 da Constituição Federal, em caráter temporário, por prazo determinado, para o exercício das funções </w:t>
      </w:r>
      <w:r>
        <w:rPr>
          <w:color w:val="000000"/>
          <w:sz w:val="23"/>
          <w:szCs w:val="23"/>
        </w:rPr>
        <w:t>de: até seis</w:t>
      </w:r>
      <w:r>
        <w:rPr>
          <w:sz w:val="23"/>
          <w:szCs w:val="23"/>
        </w:rPr>
        <w:t xml:space="preserve"> Assistentes Sociais; até dois Psicólogos e de até seis Cadastradores, para atender necessidades de excepcional interesse público do Município, no atendimento das demandas do Serviço de Acolhimento na Modalidade Família Acolhedora e do Setor de Cadastro Único/Bolsa Família, vinculados à Secretaria Municipal de Desenvolvimento Social - SEDES.</w:t>
      </w:r>
    </w:p>
    <w:p>
      <w:pPr>
        <w:pStyle w:val="NormalWeb"/>
        <w:spacing w:beforeAutospacing="0" w:before="60" w:afterAutospacing="0" w:after="0"/>
        <w:ind w:firstLine="1134"/>
        <w:jc w:val="both"/>
        <w:rPr/>
      </w:pPr>
      <w:hyperlink r:id="rId3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>Art. 2º</w:t>
        </w:r>
      </w:hyperlink>
      <w:r>
        <w:rPr>
          <w:color w:val="000000"/>
          <w:sz w:val="23"/>
          <w:szCs w:val="23"/>
        </w:rPr>
        <w:t xml:space="preserve">  As contratações referidas no artigo anterior destinam-se ao Serviço de Acolhimento em Família Acolhedora, a ser desenvolvido em consonância com o que preconiza o Estatuto da Criança e do Adolescente – ECA – Lei Federal n.º 8.069/90, bem como, com o Plano Nacional de Promoção, Proteção e Defesa do Direito de Crianças e Adolescentes à Convivência Familiar e Comunitária, a Política Nacional de Assistência Social – Resolução n.º 145/04 do CNAS e a Tipificação Nacional dos Serviços Socioassistenciais – Resolução n.º 109/2009 do CNAS; sendo classificado como serviço de proteção social especial de alta complexidade, na qual fica garantida a proteção integral às crianças e/ou adolescentes que se encontram em violação de direitos e precisam ser afastados do ambiente familiar, instituído pela Lei n.º 4.449, de 12 de dezembro de 2014, que “Institui o Serviço de Acolhimento em Família Acolhedora de Uruguaiana” e, à realização de visitas domiciliares e elaboração de pareceres de acordo com o previsto na Portaria GM/MDS n.º 177/2011 e às ações de inserção das famílias no Cadastro Único, de Programas Sociais do Governo Federal, bem como de atualização, revisão e auditorias do citado cadastro.</w:t>
      </w:r>
    </w:p>
    <w:p>
      <w:pPr>
        <w:pStyle w:val="NormalWeb"/>
        <w:spacing w:beforeAutospacing="0" w:before="60" w:afterAutospacing="0" w:after="0"/>
        <w:ind w:firstLine="1134"/>
        <w:jc w:val="both"/>
        <w:rPr/>
      </w:pPr>
      <w:hyperlink r:id="rId4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>Art. 3º</w:t>
        </w:r>
      </w:hyperlink>
      <w:r>
        <w:rPr>
          <w:sz w:val="23"/>
          <w:szCs w:val="23"/>
        </w:rPr>
        <w:t xml:space="preserve">  As contratações previstas no artigo 1º desta Lei efetuar-se-á através de </w:t>
      </w:r>
      <w:r>
        <w:rPr>
          <w:color w:val="000000"/>
          <w:sz w:val="23"/>
          <w:szCs w:val="23"/>
        </w:rPr>
        <w:t>Processo Seletivo Simplificado, considerando-se:</w:t>
      </w:r>
    </w:p>
    <w:p>
      <w:pPr>
        <w:pStyle w:val="NormalWeb"/>
        <w:spacing w:beforeAutospacing="0" w:before="40" w:afterAutospacing="0" w:after="0"/>
        <w:ind w:firstLine="113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I – período de inscrições de dez dias, mediante a apresentação de documentos especificados no Edital próprio de Seleção; e</w:t>
      </w:r>
    </w:p>
    <w:p>
      <w:pPr>
        <w:pStyle w:val="NormalWeb"/>
        <w:spacing w:beforeAutospacing="0" w:before="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II </w:t>
      </w:r>
      <w:r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critério de seleção pela pontuação de títulos, experiência profissional na área a que concorre (após a respectiva formação profissional) e de desempate por maior idade.</w:t>
      </w:r>
    </w:p>
    <w:p>
      <w:pPr>
        <w:pStyle w:val="NormalWeb"/>
        <w:spacing w:beforeAutospacing="0" w:before="60" w:afterAutospacing="0" w:after="0"/>
        <w:ind w:firstLine="1134"/>
        <w:jc w:val="both"/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Parágrafo único. </w:t>
      </w:r>
      <w:r>
        <w:rPr>
          <w:color w:val="000000"/>
          <w:sz w:val="23"/>
          <w:szCs w:val="23"/>
        </w:rPr>
        <w:t xml:space="preserve"> O edital de processo seletivo simplificado para o preenchimento das vagas de que trata esta Lei deverá ser publicado, no mínimo, no órgão de imprensa contratado pelo Município e disponibilizado no site oficial da Prefeitura Municipal de Uruguaiana.</w:t>
      </w:r>
    </w:p>
    <w:p>
      <w:pPr>
        <w:pStyle w:val="NormalWeb"/>
        <w:spacing w:beforeAutospacing="0" w:before="60" w:afterAutospacing="0" w:after="0"/>
        <w:ind w:firstLine="1077"/>
        <w:jc w:val="both"/>
        <w:rPr/>
      </w:pPr>
      <w:hyperlink r:id="rId5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>Art. 4º</w:t>
        </w:r>
      </w:hyperlink>
      <w:r>
        <w:rPr>
          <w:sz w:val="23"/>
          <w:szCs w:val="23"/>
        </w:rPr>
        <w:t xml:space="preserve">  Para fins de viabilização da seleção e classificação dos candidatos o Município poderá constituir comissão ou recorrer a contratação de entidades ou instituições com reconhecida experiência no assunto. </w:t>
      </w:r>
    </w:p>
    <w:p>
      <w:pPr>
        <w:pStyle w:val="NormalWeb"/>
        <w:spacing w:beforeAutospacing="0" w:before="60" w:afterAutospacing="0" w:after="0"/>
        <w:ind w:firstLine="1077"/>
        <w:jc w:val="both"/>
        <w:rPr/>
      </w:pPr>
      <w:r>
        <w:rPr>
          <w:sz w:val="23"/>
          <w:szCs w:val="23"/>
        </w:rPr>
        <w:t>Parágrafo único.  A Comissão, a ser nomeada por ato do Prefeito Municipal, será composta com a seguinte representatividade:</w:t>
      </w:r>
    </w:p>
    <w:p>
      <w:pPr>
        <w:pStyle w:val="NormalWeb"/>
        <w:spacing w:beforeAutospacing="0" w:before="40" w:afterAutospacing="0" w:after="0"/>
        <w:ind w:firstLine="113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I – três representantes da Secretaria Municipal de Desenvolvimento Social; e</w:t>
      </w:r>
    </w:p>
    <w:p>
      <w:pPr>
        <w:pStyle w:val="NormalWeb"/>
        <w:spacing w:beforeAutospacing="0" w:before="0" w:afterAutospacing="0" w:after="0"/>
        <w:ind w:firstLine="113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II – dois representantes da Secretaria Municipal de Administração.</w:t>
      </w:r>
    </w:p>
    <w:p>
      <w:pPr>
        <w:pStyle w:val="NormalWeb"/>
        <w:spacing w:beforeAutospacing="0" w:before="60" w:afterAutospacing="0" w:after="0"/>
        <w:ind w:firstLine="1134"/>
        <w:jc w:val="both"/>
        <w:rPr/>
      </w:pPr>
      <w:hyperlink r:id="rId6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>Art. 5º</w:t>
        </w:r>
      </w:hyperlink>
      <w:r>
        <w:rPr>
          <w:sz w:val="23"/>
          <w:szCs w:val="23"/>
        </w:rPr>
        <w:t xml:space="preserve">  As condições e as exigências para a contratação, bem como as atribuições e competências para as funções, constarão no Edital do Processo Seletivo.</w:t>
      </w:r>
    </w:p>
    <w:p>
      <w:pPr>
        <w:pStyle w:val="NormalWeb"/>
        <w:spacing w:beforeAutospacing="0" w:before="4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Parágrafo único. A efetivação da contratação dar-se-á mediante </w:t>
      </w:r>
      <w:r>
        <w:rPr>
          <w:color w:val="000000"/>
          <w:sz w:val="23"/>
          <w:szCs w:val="23"/>
        </w:rPr>
        <w:t>ato</w:t>
      </w:r>
      <w:r>
        <w:rPr>
          <w:sz w:val="23"/>
          <w:szCs w:val="23"/>
        </w:rPr>
        <w:t xml:space="preserve"> administrativo expedido pelo Chefe do Poder Executivo.</w:t>
      </w:r>
    </w:p>
    <w:p>
      <w:pPr>
        <w:pStyle w:val="NormalWeb"/>
        <w:spacing w:beforeAutospacing="0" w:before="60" w:afterAutospacing="0" w:after="0"/>
        <w:ind w:firstLine="1134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Art. 6º</w:t>
      </w:r>
      <w:r>
        <w:rPr>
          <w:sz w:val="23"/>
          <w:szCs w:val="23"/>
        </w:rPr>
        <w:t xml:space="preserve"> As contratações de que trata esta Lei se darão por regime jurídico administrativo, de acordo com as regras aqui estabelecidas, pelo prazo de até 6 (seis) meses, prorrogáveis por iguais períodos, mediante expressa justificativa da Secretaria Municipal de Desenvolvimento Social </w:t>
      </w:r>
      <w:r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SEDES, pelo prazo de, no máximo, 24 (vinte e quatro) meses.</w:t>
      </w:r>
    </w:p>
    <w:p>
      <w:pPr>
        <w:pStyle w:val="NormalWeb"/>
        <w:spacing w:beforeAutospacing="0" w:before="6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>Parágrafo único.  O contrato firmado de acordo com esta Lei extinguir-se-á sem direito a indenizações:</w:t>
      </w:r>
    </w:p>
    <w:p>
      <w:pPr>
        <w:pStyle w:val="NormalWeb"/>
        <w:spacing w:beforeAutospacing="0" w:before="4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 </w:t>
      </w:r>
      <w:r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pelo término do prazo contratual;</w:t>
      </w:r>
    </w:p>
    <w:p>
      <w:pPr>
        <w:pStyle w:val="NormalWeb"/>
        <w:spacing w:beforeAutospacing="0" w:before="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II </w:t>
      </w:r>
      <w:r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por iniciativa do contratado; e</w:t>
      </w:r>
    </w:p>
    <w:p>
      <w:pPr>
        <w:pStyle w:val="NormalWeb"/>
        <w:spacing w:beforeAutospacing="0" w:before="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III </w:t>
      </w:r>
      <w:r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por descumprimento das atribuições, inassiduidade, impontualidade ou ineficiência.</w:t>
      </w:r>
    </w:p>
    <w:p>
      <w:pPr>
        <w:pStyle w:val="Normal"/>
        <w:spacing w:before="60" w:after="60"/>
        <w:ind w:firstLine="1134"/>
        <w:jc w:val="both"/>
        <w:rPr>
          <w:rStyle w:val="Strong"/>
          <w:b w:val="false"/>
          <w:b w:val="false"/>
          <w:bCs w:val="false"/>
          <w:sz w:val="23"/>
          <w:szCs w:val="23"/>
        </w:rPr>
      </w:pPr>
      <w:r>
        <w:rPr>
          <w:rStyle w:val="Strong"/>
          <w:sz w:val="23"/>
          <w:szCs w:val="23"/>
          <w:u w:val="none"/>
        </w:rPr>
        <w:t>Art. 7º</w:t>
      </w:r>
      <w:r>
        <w:rPr>
          <w:rStyle w:val="Strong"/>
          <w:b w:val="false"/>
          <w:bCs w:val="false"/>
          <w:sz w:val="23"/>
          <w:szCs w:val="23"/>
          <w:u w:val="none"/>
        </w:rPr>
        <w:t xml:space="preserve">  O </w:t>
      </w:r>
      <w:r>
        <w:rPr>
          <w:sz w:val="23"/>
          <w:szCs w:val="23"/>
          <w:u w:val="none"/>
        </w:rPr>
        <w:t xml:space="preserve">Demonstrativo das Funções; das Atribuições Sintéticas; da Escolaridade, da Habilitação Legal e dos Requisitos à Contratação; da </w:t>
      </w:r>
      <w:r>
        <w:rPr>
          <w:color w:val="000000"/>
          <w:sz w:val="23"/>
          <w:szCs w:val="23"/>
          <w:u w:val="none"/>
        </w:rPr>
        <w:t xml:space="preserve">Carga Horária Semanal; dos Vencimentos e das Vagas, </w:t>
      </w:r>
      <w:r>
        <w:rPr>
          <w:rStyle w:val="Strong"/>
          <w:b w:val="false"/>
          <w:bCs w:val="false"/>
          <w:sz w:val="23"/>
          <w:szCs w:val="23"/>
          <w:u w:val="none"/>
        </w:rPr>
        <w:t>são os fixados no Anexo, parte integrante e inseparável esta Lei.</w:t>
      </w:r>
    </w:p>
    <w:p>
      <w:pPr>
        <w:pStyle w:val="NormalWeb"/>
        <w:spacing w:beforeAutospacing="0" w:before="60" w:afterAutospacing="0" w:after="0"/>
        <w:ind w:firstLine="1134"/>
        <w:jc w:val="both"/>
        <w:rPr>
          <w:sz w:val="23"/>
          <w:szCs w:val="23"/>
        </w:rPr>
      </w:pPr>
      <w:r>
        <w:rPr>
          <w:b/>
          <w:sz w:val="23"/>
          <w:szCs w:val="23"/>
        </w:rPr>
        <w:t>Art. 8º</w:t>
      </w:r>
      <w:r>
        <w:rPr>
          <w:sz w:val="23"/>
          <w:szCs w:val="23"/>
        </w:rPr>
        <w:t xml:space="preserve">  </w:t>
      </w:r>
      <w:r>
        <w:rPr>
          <w:rStyle w:val="Strong"/>
          <w:b w:val="false"/>
          <w:color w:val="000000"/>
          <w:sz w:val="23"/>
          <w:szCs w:val="23"/>
        </w:rPr>
        <w:t xml:space="preserve">O Município fica autorizado a proceder à contratação direta de profissionais para o exercício das funções previstas no artigo 1º, desta Lei, devidamente habilitados, para manter de maneira ininterrupta </w:t>
      </w:r>
      <w:r>
        <w:rPr>
          <w:color w:val="000000"/>
          <w:sz w:val="23"/>
          <w:szCs w:val="23"/>
        </w:rPr>
        <w:t>o Serviço de Acolhimento em Família Acolhedora, bem como, à realização de visitas domiciliares e elaboração de pareceres de acordo com o previsto na Portaria GM/MDS n.º 177/2011 e às ações de inserção das famílias no Cadastro Único, de Programas Sociais do Governo Federal.</w:t>
      </w:r>
    </w:p>
    <w:p>
      <w:pPr>
        <w:pStyle w:val="NormalWeb"/>
        <w:spacing w:beforeAutospacing="0" w:before="60" w:afterAutospacing="0" w:after="0"/>
        <w:ind w:firstLine="1134"/>
        <w:jc w:val="both"/>
        <w:rPr/>
      </w:pPr>
      <w:hyperlink r:id="rId7">
        <w:r>
          <w:rPr>
            <w:rStyle w:val="LinkdaInternet"/>
            <w:b/>
            <w:bCs/>
            <w:color w:val="auto"/>
            <w:sz w:val="23"/>
            <w:szCs w:val="23"/>
            <w:u w:val="none"/>
          </w:rPr>
          <w:t>Art. 9º</w:t>
        </w:r>
      </w:hyperlink>
      <w:r>
        <w:rPr>
          <w:sz w:val="23"/>
          <w:szCs w:val="23"/>
        </w:rPr>
        <w:t xml:space="preserve">  As despesas decorrentes da presente Lei correrão por conta das seguintes dotações orçamentárias:</w:t>
      </w:r>
    </w:p>
    <w:p>
      <w:pPr>
        <w:pStyle w:val="NormalWeb"/>
        <w:spacing w:beforeAutospacing="0" w:before="4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>I – 31.90.11-1420 – 35.02 – FMAS, Código Orçamentário: 08.243.4118.4.172 – SPCEAC – Acolhimento em Família Acolhedora, Fonte de Recurso: 0001 Livre (oriundo do FMAS); e</w:t>
      </w:r>
    </w:p>
    <w:p>
      <w:pPr>
        <w:pStyle w:val="NormalWeb"/>
        <w:spacing w:beforeAutospacing="0" w:before="0" w:afterAutospacing="0" w:after="0"/>
        <w:ind w:firstLine="1134"/>
        <w:jc w:val="both"/>
        <w:rPr>
          <w:sz w:val="23"/>
          <w:szCs w:val="23"/>
        </w:rPr>
      </w:pPr>
      <w:r>
        <w:rPr>
          <w:sz w:val="23"/>
          <w:szCs w:val="23"/>
        </w:rPr>
        <w:t>II – 31.90.11-1446 – 35.02 – FMAS, Código Orçamentário: 08.244.4119.4.174 – Gestão do Programa Bolsa Família, Fonte de Recurso: 1063 – PBF.</w:t>
      </w:r>
    </w:p>
    <w:p>
      <w:pPr>
        <w:pStyle w:val="NormalWeb"/>
        <w:spacing w:beforeAutospacing="0" w:before="60" w:afterAutospacing="0" w:after="0"/>
        <w:ind w:firstLine="1077"/>
        <w:jc w:val="both"/>
        <w:rPr/>
      </w:pPr>
      <w:hyperlink r:id="rId8">
        <w:r>
          <w:rPr>
            <w:rStyle w:val="LinkdaInternet"/>
            <w:b/>
            <w:bCs/>
            <w:color w:val="000000"/>
            <w:sz w:val="23"/>
            <w:szCs w:val="23"/>
            <w:u w:val="none"/>
          </w:rPr>
          <w:t xml:space="preserve">Art. </w:t>
        </w:r>
      </w:hyperlink>
      <w:r>
        <w:rPr>
          <w:rStyle w:val="Strong"/>
          <w:sz w:val="23"/>
          <w:szCs w:val="23"/>
        </w:rPr>
        <w:t>10.</w:t>
      </w:r>
      <w:r>
        <w:rPr>
          <w:sz w:val="23"/>
          <w:szCs w:val="23"/>
        </w:rPr>
        <w:t xml:space="preserve">  Esta Lei entra em vigor na data de sua publicação.</w:t>
      </w:r>
    </w:p>
    <w:p>
      <w:pPr>
        <w:pStyle w:val="Ttulo1"/>
        <w:spacing w:before="60" w:after="40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  <w:t>Gabinete do Prefeito, em 6 de maio de 2022.</w:t>
      </w:r>
    </w:p>
    <w:p>
      <w:pPr>
        <w:pStyle w:val="Normal"/>
        <w:ind w:firstLine="5103"/>
        <w:jc w:val="center"/>
        <w:rPr>
          <w:u w:val="none"/>
        </w:rPr>
      </w:pPr>
      <w:r>
        <w:rPr>
          <w:u w:val="none"/>
        </w:rPr>
      </w:r>
    </w:p>
    <w:p>
      <w:pPr>
        <w:pStyle w:val="Normal"/>
        <w:ind w:firstLine="5103"/>
        <w:jc w:val="center"/>
        <w:rPr>
          <w:u w:val="none"/>
        </w:rPr>
      </w:pPr>
      <w:r>
        <w:rPr>
          <w:u w:val="none"/>
        </w:rPr>
      </w:r>
    </w:p>
    <w:p>
      <w:pPr>
        <w:pStyle w:val="Normal"/>
        <w:tabs>
          <w:tab w:val="clear" w:pos="708"/>
          <w:tab w:val="left" w:pos="5387" w:leader="dot"/>
        </w:tabs>
        <w:ind w:left="4395" w:hanging="3"/>
        <w:jc w:val="center"/>
        <w:rPr>
          <w:b/>
          <w:b/>
          <w:bCs/>
          <w:i/>
          <w:i/>
          <w:iCs/>
          <w:sz w:val="28"/>
          <w:szCs w:val="28"/>
          <w:u w:val="none"/>
        </w:rPr>
      </w:pPr>
      <w:r>
        <w:rPr>
          <w:b/>
          <w:bCs/>
          <w:i/>
          <w:iCs/>
          <w:sz w:val="28"/>
          <w:szCs w:val="28"/>
          <w:u w:val="none"/>
        </w:rPr>
        <w:t>Ronnie Peterson Colpo Mello,</w:t>
      </w:r>
    </w:p>
    <w:p>
      <w:pPr>
        <w:pStyle w:val="Ttulo2"/>
        <w:spacing w:before="0" w:after="0"/>
        <w:ind w:left="4394" w:hanging="2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</w:rPr>
        <w:t>Prefeito Municipal.</w:t>
      </w:r>
    </w:p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color w:val="000000"/>
          <w:u w:val="none"/>
        </w:rPr>
      </w:pPr>
      <w:r>
        <w:rPr>
          <w:color w:val="000000"/>
          <w:u w:val="none"/>
        </w:rPr>
        <w:t>Registre-se e publique-se,</w:t>
      </w:r>
    </w:p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color w:val="000000"/>
          <w:u w:val="none"/>
        </w:rPr>
      </w:pPr>
      <w:r>
        <w:rPr>
          <w:color w:val="000000"/>
          <w:u w:val="none"/>
        </w:rPr>
        <w:t>Data supra.</w:t>
      </w:r>
    </w:p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color w:val="000000"/>
          <w:sz w:val="18"/>
          <w:szCs w:val="18"/>
          <w:u w:val="none"/>
        </w:rPr>
      </w:pPr>
      <w:r>
        <w:rPr>
          <w:color w:val="000000"/>
          <w:sz w:val="18"/>
          <w:szCs w:val="18"/>
          <w:u w:val="none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4316730</wp:posOffset>
                </wp:positionH>
                <wp:positionV relativeFrom="paragraph">
                  <wp:posOffset>302895</wp:posOffset>
                </wp:positionV>
                <wp:extent cx="1593850" cy="410210"/>
                <wp:effectExtent l="0" t="0" r="0" b="0"/>
                <wp:wrapNone/>
                <wp:docPr id="1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36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overflowPunct w:val="false"/>
                              <w:bidi w:val="0"/>
                              <w:ind w:left="0" w:right="0" w:hanging="0"/>
                              <w:jc w:val="both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kern w:val="2"/>
                                <w:sz w:val="20"/>
                                <w:szCs w:val="20"/>
                                <w:u w:val="none"/>
                                <w:lang w:val="pt-BR" w:eastAsia="zh-CN" w:bidi="hi-IN"/>
                              </w:rPr>
                              <w:t>Lei publicada no Jornal Cidade  em 0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kern w:val="2"/>
                                <w:sz w:val="20"/>
                                <w:szCs w:val="20"/>
                                <w:u w:val="none"/>
                                <w:lang w:val="pt-BR" w:eastAsia="zh-CN" w:bidi="hi-IN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kern w:val="2"/>
                                <w:sz w:val="20"/>
                                <w:szCs w:val="20"/>
                                <w:u w:val="none"/>
                                <w:lang w:val="pt-BR" w:eastAsia="zh-CN" w:bidi="hi-IN"/>
                              </w:rPr>
                              <w:t>/05/2022.</w:t>
                            </w:r>
                          </w:p>
                        </w:txbxContent>
                      </wps:txbx>
                      <wps:bodyPr lIns="16560" rIns="16560" tIns="16560" bIns="165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" fillcolor="white" stroked="f" style="position:absolute;margin-left:339.9pt;margin-top:23.85pt;width:125.4pt;height:32.2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overflowPunct w:val="false"/>
                        <w:bidi w:val="0"/>
                        <w:ind w:left="0" w:right="0" w:hanging="0"/>
                        <w:jc w:val="both"/>
                        <w:rPr/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FF"/>
                          <w:kern w:val="2"/>
                          <w:sz w:val="20"/>
                          <w:szCs w:val="20"/>
                          <w:u w:val="none"/>
                          <w:lang w:val="pt-BR" w:eastAsia="zh-CN" w:bidi="hi-IN"/>
                        </w:rPr>
                        <w:t>Lei publicada no Jornal Cidade  em 0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FF"/>
                          <w:kern w:val="2"/>
                          <w:sz w:val="20"/>
                          <w:szCs w:val="20"/>
                          <w:u w:val="none"/>
                          <w:lang w:val="pt-BR" w:eastAsia="zh-CN" w:bidi="hi-IN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FF"/>
                          <w:kern w:val="2"/>
                          <w:sz w:val="20"/>
                          <w:szCs w:val="20"/>
                          <w:u w:val="none"/>
                          <w:lang w:val="pt-BR" w:eastAsia="zh-CN" w:bidi="hi-IN"/>
                        </w:rPr>
                        <w:t>/05/2022.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color w:val="000000"/>
          <w:sz w:val="18"/>
          <w:szCs w:val="18"/>
          <w:u w:val="none"/>
        </w:rPr>
      </w:pPr>
      <w:r>
        <w:rPr>
          <w:color w:val="000000"/>
          <w:sz w:val="18"/>
          <w:szCs w:val="18"/>
          <w:u w:val="none"/>
        </w:rPr>
      </w:r>
    </w:p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b/>
          <w:b/>
          <w:color w:val="000000"/>
          <w:sz w:val="24"/>
          <w:szCs w:val="24"/>
          <w:u w:val="none"/>
        </w:rPr>
      </w:pPr>
      <w:r>
        <w:rPr>
          <w:b/>
          <w:color w:val="000000"/>
          <w:sz w:val="24"/>
          <w:szCs w:val="24"/>
          <w:u w:val="none"/>
        </w:rPr>
        <w:t>Elton Gilliard Rosa Melo,</w:t>
      </w:r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1701" w:right="850" w:header="567" w:top="2399" w:footer="567" w:bottom="1265" w:gutter="0"/>
          <w:pgNumType w:fmt="decimal"/>
          <w:formProt w:val="false"/>
          <w:textDirection w:val="lrTb"/>
          <w:docGrid w:type="default" w:linePitch="100" w:charSpace="0"/>
        </w:sectPr>
        <w:pStyle w:val="Normal"/>
        <w:tabs>
          <w:tab w:val="clear" w:pos="708"/>
          <w:tab w:val="left" w:pos="4500" w:leader="none"/>
          <w:tab w:val="left" w:pos="5400" w:leader="none"/>
        </w:tabs>
        <w:rPr/>
      </w:pPr>
      <w:r>
        <w:rPr>
          <w:color w:val="000000"/>
          <w:sz w:val="24"/>
          <w:szCs w:val="24"/>
          <w:u w:val="none"/>
        </w:rPr>
        <w:t>Secretário Municipal de Administração.</w:t>
      </w:r>
    </w:p>
    <w:p>
      <w:pPr>
        <w:pStyle w:val="Normal"/>
        <w:spacing w:before="0" w:after="120"/>
        <w:jc w:val="center"/>
        <w:rPr>
          <w:u w:val="none"/>
        </w:rPr>
      </w:pPr>
      <w:r>
        <w:rPr>
          <w:b/>
          <w:bCs/>
          <w:sz w:val="24"/>
          <w:szCs w:val="24"/>
          <w:u w:val="none"/>
        </w:rPr>
        <w:t xml:space="preserve">Anexo </w:t>
      </w:r>
    </w:p>
    <w:p>
      <w:pPr>
        <w:pStyle w:val="Normal"/>
        <w:spacing w:before="0" w:after="120"/>
        <w:jc w:val="center"/>
        <w:rPr>
          <w:u w:val="none"/>
        </w:rPr>
      </w:pPr>
      <w:r>
        <w:rPr>
          <w:b/>
          <w:bCs/>
          <w:sz w:val="24"/>
          <w:szCs w:val="24"/>
          <w:u w:val="none"/>
        </w:rPr>
        <w:t xml:space="preserve">Demonstrativo das Funções; das Atribuições Sintéticas; da Escolaridade, da Habilitação Legal e dos Requisitos à Contratação; da </w:t>
      </w:r>
      <w:r>
        <w:rPr>
          <w:b/>
          <w:bCs/>
          <w:color w:val="000000"/>
          <w:sz w:val="24"/>
          <w:szCs w:val="24"/>
          <w:u w:val="none"/>
        </w:rPr>
        <w:t>Carga Horária Semanal; dos Vencimentos e das Vagas.</w:t>
      </w:r>
    </w:p>
    <w:tbl>
      <w:tblPr>
        <w:tblW w:w="15487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071"/>
        <w:gridCol w:w="8227"/>
        <w:gridCol w:w="2489"/>
        <w:gridCol w:w="1589"/>
        <w:gridCol w:w="1253"/>
        <w:gridCol w:w="857"/>
      </w:tblGrid>
      <w:tr>
        <w:trPr/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>Função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>Atribuições sintéticas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 xml:space="preserve">Escolaridade, habilitação legal e requisitos à contratação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>Carga horária/</w:t>
            </w:r>
          </w:p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>semanal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color w:val="000000"/>
                <w:sz w:val="20"/>
                <w:szCs w:val="20"/>
                <w:u w:val="none"/>
              </w:rPr>
              <w:t>Vencimentos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0"/>
                <w:szCs w:val="20"/>
                <w:u w:val="none"/>
              </w:rPr>
              <w:t>Vagas</w:t>
            </w:r>
          </w:p>
        </w:tc>
      </w:tr>
      <w:tr>
        <w:trPr>
          <w:trHeight w:val="252" w:hRule="atLeast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42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Assistente Social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60" w:after="0"/>
              <w:jc w:val="both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Planejar, elaborar, executar, supervisionar e avaliar estudos, pesquisas, planos, programas e projetos sob o olhar do Serviço Social, referente à Proteção Social Especial de Alta Complexidade dos Serviços de Acolhimento/SUAS. Promover a acolhida, seleção, capacitação, acompanhamento, desligamento e supervisão das famílias acolhedoras. Preparação e acompanhamento social das famílias de origem, com vistas a reintegração familiar. Planejamento conjunto com outros atores da rede de serviços e do Sistema de Garantia de Direitos. Elaboração, encaminhamento e discussão com autoridade judiciária e Ministério Público de relatórios, com freqüência bimestral ou semestral, sobre a situação de cada criança e adolescente em situação de acolhimento. Coordenar o processo de identificação das famílias que compõe o público alvo do Cadastro Único de Programas Sociais, especialmente o cadastramento de famílias em maior situação de vulnerabilidade social, e desenvolver atribuições inerentes a profissão conforme Lei Federal n.º 8.662, de 7 de junho de 1993. Atender o público.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Ensino Superior completo em Serviço Social, com registro ativo no respectivo órgão de classe.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30 horas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u w:val="none"/>
              </w:rPr>
              <w:t>R$ 3.030,58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Até</w:t>
            </w:r>
          </w:p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6</w:t>
            </w:r>
          </w:p>
        </w:tc>
      </w:tr>
      <w:tr>
        <w:trPr>
          <w:trHeight w:val="252" w:hRule="atLeast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42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Psicólogo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60" w:after="40"/>
              <w:jc w:val="both"/>
              <w:rPr>
                <w:u w:val="none"/>
              </w:rPr>
            </w:pPr>
            <w:r>
              <w:rPr>
                <w:u w:val="none"/>
              </w:rPr>
              <w:t>Planejar, elaborar, executar, supervisionar e avaliar estudos, pesquisas, planos, programas e projetos sob o olhar da Psicologia e como parte da equipe de referência dos Serviços de Acolhimento da Proteção Social Especial de Alta Complexidade do Sistema Único de Assistência Social – SUAS. Acolhida, avaliação, seleção, capacitação, acompanhamento, desligamento e supervisão das famílias acolhedoras. Articulação com a rede de serviços e Sistema de Garantia de Direitos. Preparação e acompanhamento psicológico das famílias de origem, com vistas à reintegração familiar. Acompanhamento psicológico das crianças e adolescentes. Planejamento conjunto com outros atores da rede de serviços e do Sistema de Garantia de Direitos. Elaboração, encaminhamento e discussão com autoridade judiciária e Ministério Público de relatórios, com frequência bimestral ou semestral, sobre a situação de cada criança e adolescente em situação de acolhimento.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Ensino Superior completo em Psicologia, com registro ativo no respectivo órgão de classe.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30 horas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u w:val="none"/>
              </w:rPr>
              <w:t>R$ 3.030,58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 w:themeColor="text1"/>
                <w:sz w:val="22"/>
                <w:szCs w:val="22"/>
                <w:u w:val="none"/>
              </w:rPr>
              <w:t>Até</w:t>
            </w:r>
          </w:p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 w:themeColor="text1"/>
                <w:sz w:val="22"/>
                <w:szCs w:val="22"/>
                <w:u w:val="none"/>
              </w:rPr>
              <w:t>2</w:t>
            </w:r>
          </w:p>
        </w:tc>
      </w:tr>
    </w:tbl>
    <w:p>
      <w:pPr>
        <w:pStyle w:val="Normal"/>
        <w:tabs>
          <w:tab w:val="clear" w:pos="708"/>
          <w:tab w:val="left" w:pos="4500" w:leader="none"/>
          <w:tab w:val="left" w:pos="5400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W w:w="15487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734"/>
        <w:gridCol w:w="7369"/>
        <w:gridCol w:w="2410"/>
        <w:gridCol w:w="1556"/>
        <w:gridCol w:w="1556"/>
        <w:gridCol w:w="861"/>
      </w:tblGrid>
      <w:tr>
        <w:trPr>
          <w:trHeight w:val="252" w:hRule="atLeast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u w:val="none"/>
              </w:rPr>
            </w:pPr>
            <w:r>
              <w:rPr>
                <w:b/>
                <w:bCs/>
                <w:sz w:val="22"/>
                <w:szCs w:val="22"/>
                <w:u w:val="none"/>
              </w:rPr>
              <w:t>Função</w:t>
            </w: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u w:val="none"/>
              </w:rPr>
            </w:pPr>
            <w:r>
              <w:rPr>
                <w:b/>
                <w:bCs/>
                <w:sz w:val="22"/>
                <w:szCs w:val="22"/>
                <w:u w:val="none"/>
              </w:rPr>
              <w:t>Atribuições sintéticas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u w:val="none"/>
              </w:rPr>
            </w:pPr>
            <w:r>
              <w:rPr>
                <w:b/>
                <w:bCs/>
                <w:color w:val="000000"/>
                <w:u w:val="none"/>
              </w:rPr>
              <w:t>Escolaridade, habilitação legal e requisitos à contratação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2"/>
                <w:szCs w:val="22"/>
                <w:u w:val="none"/>
              </w:rPr>
              <w:t>Carga horária/</w:t>
            </w:r>
          </w:p>
          <w:p>
            <w:pPr>
              <w:pStyle w:val="NormalWeb"/>
              <w:spacing w:beforeAutospacing="0" w:before="0" w:afterAutospacing="0" w:after="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2"/>
                <w:szCs w:val="22"/>
                <w:u w:val="none"/>
              </w:rPr>
              <w:t>semanal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sz w:val="22"/>
                <w:szCs w:val="22"/>
                <w:u w:val="none"/>
              </w:rPr>
              <w:t>Vencimentos R$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b/>
                <w:bCs/>
                <w:color w:val="000000"/>
                <w:sz w:val="22"/>
                <w:szCs w:val="22"/>
                <w:u w:val="none"/>
              </w:rPr>
              <w:t>Vagas</w:t>
            </w:r>
          </w:p>
        </w:tc>
      </w:tr>
      <w:tr>
        <w:trPr>
          <w:trHeight w:val="252" w:hRule="atLeast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Cadastrador</w:t>
            </w:r>
          </w:p>
        </w:tc>
        <w:tc>
          <w:tcPr>
            <w:tcW w:w="7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60" w:after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Proceder à digitação de dados cadastrais, inclusões e alterações no aplicativo de cadastramento e executar atividades afins inerentes à função. Atender o público.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60" w:after="40"/>
              <w:jc w:val="center"/>
              <w:rPr>
                <w:u w:val="none"/>
              </w:rPr>
            </w:pPr>
            <w:r>
              <w:rPr>
                <w:u w:val="none"/>
              </w:rPr>
              <w:t>Ensino Médio completo (2º Grau) e noções básicas na área de informática.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40 horas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sz w:val="22"/>
                <w:szCs w:val="22"/>
                <w:u w:val="none"/>
              </w:rPr>
              <w:t>1.319,90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Até</w:t>
            </w:r>
          </w:p>
          <w:p>
            <w:pPr>
              <w:pStyle w:val="NormalWeb"/>
              <w:spacing w:beforeAutospacing="0" w:before="80" w:afterAutospacing="0" w:after="40"/>
              <w:ind w:left="-108" w:right="-108" w:hanging="0"/>
              <w:jc w:val="center"/>
              <w:rPr>
                <w:u w:val="none"/>
              </w:rPr>
            </w:pPr>
            <w:r>
              <w:rPr>
                <w:color w:val="000000"/>
                <w:sz w:val="22"/>
                <w:szCs w:val="22"/>
                <w:u w:val="none"/>
              </w:rPr>
              <w:t>6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11"/>
      <w:footerReference w:type="default" r:id="rId12"/>
      <w:type w:val="nextPage"/>
      <w:pgSz w:orient="landscape" w:w="16838" w:h="11906"/>
      <w:pgMar w:left="567" w:right="567" w:header="567" w:top="2379" w:footer="567" w:bottom="1663" w:gutter="0"/>
      <w:pgNumType w:start="3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0" w:after="120"/>
      <w:jc w:val="center"/>
      <w:rPr>
        <w:u w:val="none"/>
      </w:rPr>
    </w:pPr>
    <w:r>
      <w:rPr>
        <w:u w:val="none"/>
      </w:rPr>
      <w:t>__________________________________________________________________________________________</w:t>
    </w:r>
  </w:p>
  <w:p>
    <w:pPr>
      <w:pStyle w:val="Rodap"/>
      <w:jc w:val="center"/>
      <w:rPr>
        <w:u w:val="none"/>
      </w:rPr>
    </w:pPr>
    <w:r>
      <w:rPr>
        <w:u w:val="none"/>
      </w:rPr>
      <w:t>Rua 15 de Novembro, 1882 – Uruguaiana – RS – CEP 97501-532</w:t>
    </w:r>
  </w:p>
  <w:p>
    <w:pPr>
      <w:pStyle w:val="Rodap"/>
      <w:jc w:val="center"/>
      <w:rPr/>
    </w:pPr>
    <w:r>
      <w:rPr>
        <w:u w:val="none"/>
      </w:rPr>
      <w:t xml:space="preserve">Fone: (55) 3411-1860 – Ramal: 238 – e-mail: </w:t>
    </w:r>
    <w:hyperlink r:id="rId1">
      <w:r>
        <w:rPr>
          <w:rStyle w:val="LinkdaInternet"/>
        </w:rPr>
        <w:t>secad@uruguaiana.rs.gov.br</w:t>
      </w:r>
    </w:hyperlink>
    <w:r>
      <w:rPr>
        <w:u w:val="none"/>
      </w:rPr>
      <w:t xml:space="preserve"> – www.uruguaiana.rs.gov.br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0" w:after="120"/>
      <w:jc w:val="center"/>
      <w:rPr/>
    </w:pPr>
    <w:r>
      <w:rPr>
        <w:u w:val="none"/>
      </w:rPr>
      <w:t>__________________________________________________________________________________________</w:t>
    </w:r>
  </w:p>
  <w:p>
    <w:pPr>
      <w:pStyle w:val="Rodap"/>
      <w:jc w:val="center"/>
      <w:rPr/>
    </w:pPr>
    <w:r>
      <w:rPr>
        <w:u w:val="none"/>
      </w:rPr>
      <w:t>Rua 15 de Novembro, 1882 – Uruguaiana – RS – CEP 97501-532</w:t>
    </w:r>
  </w:p>
  <w:p>
    <w:pPr>
      <w:pStyle w:val="Rodap"/>
      <w:jc w:val="center"/>
      <w:rPr/>
    </w:pPr>
    <w:r>
      <w:rPr>
        <w:u w:val="none"/>
      </w:rPr>
      <w:t xml:space="preserve">Fone: (55) 3411-1860 – Ramal: 238 – e-mail: </w:t>
    </w:r>
    <w:hyperlink r:id="rId1">
      <w:r>
        <w:rPr>
          <w:rStyle w:val="LinkdaInternet"/>
        </w:rPr>
        <w:t>secad@uruguaiana.rs.gov.br</w:t>
      </w:r>
    </w:hyperlink>
    <w:r>
      <w:rPr>
        <w:u w:val="none"/>
      </w:rPr>
      <w:t xml:space="preserve"> – www.uruguaiana.rs.gov.br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288" w:type="dxa"/>
      <w:jc w:val="center"/>
      <w:tblInd w:w="0" w:type="dxa"/>
      <w:tblCellMar>
        <w:top w:w="0" w:type="dxa"/>
        <w:left w:w="108" w:type="dxa"/>
        <w:bottom w:w="0" w:type="dxa"/>
        <w:right w:w="108" w:type="dxa"/>
      </w:tblCellMar>
      <w:tblLook w:val="01e0"/>
    </w:tblPr>
    <w:tblGrid>
      <w:gridCol w:w="1542"/>
      <w:gridCol w:w="5995"/>
      <w:gridCol w:w="1751"/>
    </w:tblGrid>
    <w:tr>
      <w:trPr/>
      <w:tc>
        <w:tcPr>
          <w:tcW w:w="1542" w:type="dxa"/>
          <w:vMerge w:val="restart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66040</wp:posOffset>
                </wp:positionH>
                <wp:positionV relativeFrom="paragraph">
                  <wp:posOffset>160020</wp:posOffset>
                </wp:positionV>
                <wp:extent cx="914400" cy="708660"/>
                <wp:effectExtent l="0" t="0" r="0" b="0"/>
                <wp:wrapNone/>
                <wp:docPr id="3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08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6"/>
              <w:szCs w:val="26"/>
              <w:u w:val="none"/>
            </w:rPr>
          </w:pPr>
          <w:r>
            <w:rPr>
              <w:b/>
              <w:bCs/>
              <w:sz w:val="26"/>
              <w:szCs w:val="26"/>
              <w:u w:val="none"/>
            </w:rPr>
          </w:r>
        </w:p>
      </w:tc>
      <w:tc>
        <w:tcPr>
          <w:tcW w:w="1751" w:type="dxa"/>
          <w:vMerge w:val="restart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/>
            <w:object>
              <v:shape id="ole_rId2" style="width:76.05pt;height:77.75pt" o:ole="">
                <v:imagedata r:id="rId3" o:title=""/>
              </v:shape>
              <o:OLEObject Type="Embed" ProgID="Word.Picture.8" ShapeID="ole_rId2" DrawAspect="Content" ObjectID="_301976966" r:id="rId2"/>
            </w:object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ESTADO DO RIO GRANDE DO SUL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PREFEITURA MUNICIPAL DE URUGUAIANA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PALÁCIO RIO BRANCO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6"/>
              <w:szCs w:val="26"/>
              <w:u w:val="none"/>
            </w:rPr>
          </w:pPr>
          <w:r>
            <w:rPr>
              <w:b/>
              <w:bCs/>
              <w:sz w:val="26"/>
              <w:szCs w:val="26"/>
              <w:u w:val="none"/>
            </w:rPr>
          </w:r>
        </w:p>
      </w:tc>
      <w:tc>
        <w:tcPr>
          <w:tcW w:w="1751" w:type="dxa"/>
          <w:vMerge w:val="continue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</w:tbl>
  <w:p>
    <w:pPr>
      <w:pStyle w:val="Cabealho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288" w:type="dxa"/>
      <w:jc w:val="center"/>
      <w:tblInd w:w="0" w:type="dxa"/>
      <w:tblCellMar>
        <w:top w:w="0" w:type="dxa"/>
        <w:left w:w="108" w:type="dxa"/>
        <w:bottom w:w="0" w:type="dxa"/>
        <w:right w:w="108" w:type="dxa"/>
      </w:tblCellMar>
      <w:tblLook w:val="01e0"/>
    </w:tblPr>
    <w:tblGrid>
      <w:gridCol w:w="1542"/>
      <w:gridCol w:w="5995"/>
      <w:gridCol w:w="1751"/>
    </w:tblGrid>
    <w:tr>
      <w:trPr/>
      <w:tc>
        <w:tcPr>
          <w:tcW w:w="1542" w:type="dxa"/>
          <w:vMerge w:val="restart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66040</wp:posOffset>
                </wp:positionH>
                <wp:positionV relativeFrom="paragraph">
                  <wp:posOffset>160020</wp:posOffset>
                </wp:positionV>
                <wp:extent cx="914400" cy="708660"/>
                <wp:effectExtent l="0" t="0" r="0" b="0"/>
                <wp:wrapNone/>
                <wp:docPr id="4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08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6"/>
              <w:szCs w:val="26"/>
              <w:u w:val="none"/>
            </w:rPr>
          </w:pPr>
          <w:r>
            <w:rPr>
              <w:b/>
              <w:bCs/>
              <w:sz w:val="26"/>
              <w:szCs w:val="26"/>
              <w:u w:val="none"/>
            </w:rPr>
          </w:r>
        </w:p>
      </w:tc>
      <w:tc>
        <w:tcPr>
          <w:tcW w:w="1751" w:type="dxa"/>
          <w:vMerge w:val="restart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/>
            <w:object>
              <v:shape id="ole_rId2" style="width:76.05pt;height:77.75pt" o:ole="">
                <v:imagedata r:id="rId3" o:title=""/>
              </v:shape>
              <o:OLEObject Type="Embed" ProgID="" ShapeID="ole_rId2" DrawAspect="Content" ObjectID="_979037214" r:id="rId2"/>
            </w:object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ESTADO DO RIO GRANDE DO SUL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PREFEITURA MUNICIPAL DE URUGUAIANA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/>
          <w:shd w:fill="auto" w:val="clear"/>
          <w:vAlign w:val="center"/>
        </w:tcPr>
        <w:p>
          <w:pPr>
            <w:pStyle w:val="Cabealho"/>
            <w:jc w:val="center"/>
            <w:rPr/>
          </w:pPr>
          <w:r>
            <w:rPr>
              <w:b/>
              <w:bCs/>
              <w:sz w:val="26"/>
              <w:szCs w:val="26"/>
              <w:u w:val="none"/>
            </w:rPr>
            <w:t>PALÁCIO RIO BRANCO</w:t>
          </w:r>
        </w:p>
      </w:tc>
      <w:tc>
        <w:tcPr>
          <w:tcW w:w="1751" w:type="dxa"/>
          <w:vMerge w:val="continue"/>
          <w:tcBorders/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  <w:tr>
      <w:trPr/>
      <w:tc>
        <w:tcPr>
          <w:tcW w:w="1542" w:type="dxa"/>
          <w:vMerge w:val="continue"/>
          <w:tcBorders>
            <w:bottom w:val="single" w:sz="4" w:space="0" w:color="000000"/>
          </w:tcBorders>
          <w:shd w:fill="auto" w:val="clea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  <w:tc>
        <w:tcPr>
          <w:tcW w:w="5995" w:type="dxa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6"/>
              <w:szCs w:val="26"/>
              <w:u w:val="none"/>
            </w:rPr>
          </w:pPr>
          <w:r>
            <w:rPr>
              <w:b/>
              <w:bCs/>
              <w:sz w:val="26"/>
              <w:szCs w:val="26"/>
              <w:u w:val="none"/>
            </w:rPr>
          </w:r>
        </w:p>
      </w:tc>
      <w:tc>
        <w:tcPr>
          <w:tcW w:w="1751" w:type="dxa"/>
          <w:vMerge w:val="continue"/>
          <w:tcBorders>
            <w:bottom w:val="single" w:sz="4" w:space="0" w:color="000000"/>
          </w:tcBorders>
          <w:shd w:fill="auto" w:val="clear"/>
          <w:vAlign w:val="center"/>
        </w:tcPr>
        <w:p>
          <w:pPr>
            <w:pStyle w:val="Cabealho"/>
            <w:jc w:val="center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  <w:rPr>
        <w:sz w:val="28"/>
        <w:b/>
        <w:szCs w:val="24"/>
        <w:rFonts w:cs="Times New Roman"/>
        <w:lang w:val="pt-PT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Normal (Web)" w:uiPriority="0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92bf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u w:val="single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c92bf8"/>
    <w:pPr>
      <w:keepNext w:val="true"/>
      <w:ind w:firstLine="709"/>
      <w:jc w:val="both"/>
      <w:outlineLvl w:val="0"/>
    </w:pPr>
    <w:rPr>
      <w:b/>
      <w:bCs/>
      <w:sz w:val="28"/>
      <w:szCs w:val="28"/>
      <w:u w:val="none"/>
    </w:rPr>
  </w:style>
  <w:style w:type="paragraph" w:styleId="Ttulo2">
    <w:name w:val="Heading 2"/>
    <w:basedOn w:val="Normal"/>
    <w:next w:val="Normal"/>
    <w:link w:val="Ttulo2Char"/>
    <w:uiPriority w:val="99"/>
    <w:qFormat/>
    <w:rsid w:val="00de6c5f"/>
    <w:pPr>
      <w:keepNext w:val="true"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locked/>
    <w:rsid w:val="001d11b2"/>
    <w:rPr>
      <w:rFonts w:ascii="Cambria" w:hAnsi="Cambria" w:cs="Cambria"/>
      <w:b/>
      <w:bCs/>
      <w:kern w:val="2"/>
      <w:sz w:val="32"/>
      <w:szCs w:val="32"/>
      <w:u w:val="single"/>
    </w:rPr>
  </w:style>
  <w:style w:type="character" w:styleId="Ttulo2Char" w:customStyle="1">
    <w:name w:val="Título 2 Char"/>
    <w:basedOn w:val="DefaultParagraphFont"/>
    <w:link w:val="Ttulo2"/>
    <w:uiPriority w:val="99"/>
    <w:semiHidden/>
    <w:qFormat/>
    <w:locked/>
    <w:rsid w:val="00de6c5f"/>
    <w:rPr>
      <w:rFonts w:ascii="Cambria" w:hAnsi="Cambria" w:cs="Cambria"/>
      <w:b/>
      <w:bCs/>
      <w:i/>
      <w:iCs/>
      <w:sz w:val="28"/>
      <w:szCs w:val="28"/>
      <w:u w:val="single"/>
    </w:rPr>
  </w:style>
  <w:style w:type="character" w:styleId="CabealhoChar" w:customStyle="1">
    <w:name w:val="Cabeçalho Char"/>
    <w:basedOn w:val="DefaultParagraphFont"/>
    <w:link w:val="Cabealho"/>
    <w:uiPriority w:val="99"/>
    <w:semiHidden/>
    <w:qFormat/>
    <w:locked/>
    <w:rsid w:val="001d11b2"/>
    <w:rPr>
      <w:sz w:val="20"/>
      <w:szCs w:val="20"/>
      <w:u w:val="single"/>
    </w:rPr>
  </w:style>
  <w:style w:type="character" w:styleId="RodapChar" w:customStyle="1">
    <w:name w:val="Rodapé Char"/>
    <w:basedOn w:val="DefaultParagraphFont"/>
    <w:link w:val="Rodap"/>
    <w:uiPriority w:val="99"/>
    <w:semiHidden/>
    <w:qFormat/>
    <w:locked/>
    <w:rsid w:val="001d11b2"/>
    <w:rPr>
      <w:sz w:val="20"/>
      <w:szCs w:val="20"/>
      <w:u w:val="single"/>
    </w:rPr>
  </w:style>
  <w:style w:type="character" w:styleId="LinkdaInternet">
    <w:name w:val="Link da Internet"/>
    <w:basedOn w:val="DefaultParagraphFont"/>
    <w:uiPriority w:val="99"/>
    <w:rsid w:val="005c3ee9"/>
    <w:rPr>
      <w:color w:val="0000FF"/>
      <w:u w:val="single"/>
    </w:rPr>
  </w:style>
  <w:style w:type="character" w:styleId="Strong">
    <w:name w:val="Strong"/>
    <w:basedOn w:val="DefaultParagraphFont"/>
    <w:qFormat/>
    <w:rsid w:val="005f6a2b"/>
    <w:rPr>
      <w:b/>
      <w:bCs/>
    </w:rPr>
  </w:style>
  <w:style w:type="character" w:styleId="Recuodecorpodetexto2Char" w:customStyle="1">
    <w:name w:val="Recuo de corpo de texto 2 Char"/>
    <w:basedOn w:val="DefaultParagraphFont"/>
    <w:link w:val="Recuodecorpodetexto2"/>
    <w:uiPriority w:val="99"/>
    <w:qFormat/>
    <w:locked/>
    <w:rsid w:val="00d277ed"/>
    <w:rPr>
      <w:u w:val="single"/>
    </w:rPr>
  </w:style>
  <w:style w:type="character" w:styleId="Recuodecorpodetexto3Char" w:customStyle="1">
    <w:name w:val="Recuo de corpo de texto 3 Char"/>
    <w:basedOn w:val="DefaultParagraphFont"/>
    <w:link w:val="Recuodecorpodetexto3"/>
    <w:uiPriority w:val="99"/>
    <w:semiHidden/>
    <w:qFormat/>
    <w:rsid w:val="009e16eb"/>
    <w:rPr>
      <w:sz w:val="16"/>
      <w:szCs w:val="16"/>
      <w:u w:val="single"/>
    </w:rPr>
  </w:style>
  <w:style w:type="character" w:styleId="ListLabel1">
    <w:name w:val="ListLabel 1"/>
    <w:qFormat/>
    <w:rPr>
      <w:sz w:val="20"/>
      <w:szCs w:val="20"/>
    </w:rPr>
  </w:style>
  <w:style w:type="character" w:styleId="ListLabel2">
    <w:name w:val="ListLabel 2"/>
    <w:qFormat/>
    <w:rPr>
      <w:rFonts w:cs="Symbol"/>
      <w:sz w:val="20"/>
      <w:szCs w:val="20"/>
    </w:rPr>
  </w:style>
  <w:style w:type="character" w:styleId="ListLabel3">
    <w:name w:val="ListLabel 3"/>
    <w:qFormat/>
    <w:rPr>
      <w:rFonts w:cs="Symbol"/>
      <w:sz w:val="20"/>
      <w:szCs w:val="20"/>
    </w:rPr>
  </w:style>
  <w:style w:type="character" w:styleId="ListLabel4">
    <w:name w:val="ListLabel 4"/>
    <w:qFormat/>
    <w:rPr>
      <w:rFonts w:cs="Symbol"/>
      <w:sz w:val="20"/>
      <w:szCs w:val="20"/>
    </w:rPr>
  </w:style>
  <w:style w:type="character" w:styleId="ListLabel5">
    <w:name w:val="ListLabel 5"/>
    <w:qFormat/>
    <w:rPr>
      <w:rFonts w:cs="Symbol"/>
      <w:sz w:val="20"/>
      <w:szCs w:val="20"/>
    </w:rPr>
  </w:style>
  <w:style w:type="character" w:styleId="ListLabel6">
    <w:name w:val="ListLabel 6"/>
    <w:qFormat/>
    <w:rPr>
      <w:rFonts w:cs="Symbol"/>
      <w:sz w:val="20"/>
      <w:szCs w:val="20"/>
    </w:rPr>
  </w:style>
  <w:style w:type="character" w:styleId="ListLabel7">
    <w:name w:val="ListLabel 7"/>
    <w:qFormat/>
    <w:rPr>
      <w:rFonts w:cs="Symbol"/>
      <w:sz w:val="20"/>
      <w:szCs w:val="20"/>
    </w:rPr>
  </w:style>
  <w:style w:type="character" w:styleId="ListLabel8">
    <w:name w:val="ListLabel 8"/>
    <w:qFormat/>
    <w:rPr>
      <w:rFonts w:cs="Symbol"/>
      <w:sz w:val="20"/>
      <w:szCs w:val="20"/>
    </w:rPr>
  </w:style>
  <w:style w:type="character" w:styleId="ListLabel9">
    <w:name w:val="ListLabel 9"/>
    <w:qFormat/>
    <w:rPr>
      <w:rFonts w:cs="Symbol"/>
      <w:sz w:val="20"/>
      <w:szCs w:val="20"/>
    </w:rPr>
  </w:style>
  <w:style w:type="character" w:styleId="ListLabel10">
    <w:name w:val="ListLabel 10"/>
    <w:qFormat/>
    <w:rPr>
      <w:rFonts w:cs="Times New Roman"/>
      <w:b/>
      <w:sz w:val="28"/>
      <w:szCs w:val="24"/>
      <w:lang w:val="pt-PT"/>
    </w:rPr>
  </w:style>
  <w:style w:type="character" w:styleId="ListLabel11">
    <w:name w:val="ListLabel 11"/>
    <w:qFormat/>
    <w:rPr>
      <w:b/>
      <w:bCs/>
      <w:color w:val="000000"/>
      <w:sz w:val="23"/>
      <w:szCs w:val="23"/>
      <w:u w:val="none"/>
    </w:rPr>
  </w:style>
  <w:style w:type="character" w:styleId="ListLabel12">
    <w:name w:val="ListLabel 12"/>
    <w:qFormat/>
    <w:rPr>
      <w:b/>
      <w:bCs/>
      <w:color w:val="auto"/>
      <w:sz w:val="23"/>
      <w:szCs w:val="23"/>
      <w:u w:val="none"/>
    </w:rPr>
  </w:style>
  <w:style w:type="character" w:styleId="ListLabel13">
    <w:name w:val="ListLabel 13"/>
    <w:qFormat/>
    <w:rPr/>
  </w:style>
  <w:style w:type="character" w:styleId="ListLabel14">
    <w:name w:val="ListLabel 14"/>
    <w:qFormat/>
    <w:rPr>
      <w:rFonts w:cs="Times New Roman"/>
      <w:b/>
      <w:sz w:val="28"/>
      <w:szCs w:val="24"/>
      <w:lang w:val="pt-PT"/>
    </w:rPr>
  </w:style>
  <w:style w:type="character" w:styleId="ListLabel15">
    <w:name w:val="ListLabel 15"/>
    <w:qFormat/>
    <w:rPr>
      <w:b/>
      <w:bCs/>
      <w:color w:val="000000"/>
      <w:sz w:val="23"/>
      <w:szCs w:val="23"/>
      <w:u w:val="none"/>
    </w:rPr>
  </w:style>
  <w:style w:type="character" w:styleId="ListLabel16">
    <w:name w:val="ListLabel 16"/>
    <w:qFormat/>
    <w:rPr>
      <w:b/>
      <w:bCs/>
      <w:color w:val="auto"/>
      <w:sz w:val="23"/>
      <w:szCs w:val="23"/>
      <w:u w:val="none"/>
    </w:rPr>
  </w:style>
  <w:style w:type="character" w:styleId="ListLabel17">
    <w:name w:val="ListLabel 17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rsid w:val="00cd07f6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cd07f6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qFormat/>
    <w:rsid w:val="005f6a2b"/>
    <w:pPr>
      <w:spacing w:beforeAutospacing="1" w:afterAutospacing="1"/>
    </w:pPr>
    <w:rPr>
      <w:sz w:val="24"/>
      <w:szCs w:val="24"/>
      <w:u w:val="none"/>
    </w:rPr>
  </w:style>
  <w:style w:type="paragraph" w:styleId="Ementa" w:customStyle="1">
    <w:name w:val="ementa"/>
    <w:basedOn w:val="Normal"/>
    <w:uiPriority w:val="99"/>
    <w:qFormat/>
    <w:rsid w:val="005f6a2b"/>
    <w:pPr>
      <w:spacing w:beforeAutospacing="1" w:afterAutospacing="1"/>
    </w:pPr>
    <w:rPr>
      <w:sz w:val="24"/>
      <w:szCs w:val="24"/>
      <w:u w:val="none"/>
    </w:rPr>
  </w:style>
  <w:style w:type="paragraph" w:styleId="BodyTextIndent2">
    <w:name w:val="Body Text Indent 2"/>
    <w:basedOn w:val="Normal"/>
    <w:link w:val="Recuodecorpodetexto2Char"/>
    <w:uiPriority w:val="99"/>
    <w:qFormat/>
    <w:rsid w:val="00d277ed"/>
    <w:pPr>
      <w:spacing w:lineRule="auto" w:line="480" w:before="0" w:after="120"/>
      <w:ind w:left="283" w:hanging="0"/>
    </w:pPr>
    <w:rPr/>
  </w:style>
  <w:style w:type="paragraph" w:styleId="BodyTextIndent3">
    <w:name w:val="Body Text Indent 3"/>
    <w:basedOn w:val="Normal"/>
    <w:link w:val="Recuodecorpodetexto3Char"/>
    <w:uiPriority w:val="99"/>
    <w:semiHidden/>
    <w:unhideWhenUsed/>
    <w:qFormat/>
    <w:rsid w:val="009e16eb"/>
    <w:pPr>
      <w:spacing w:before="0" w:after="120"/>
      <w:ind w:left="283" w:hanging="0"/>
    </w:pPr>
    <w:rPr>
      <w:sz w:val="16"/>
      <w:szCs w:val="16"/>
    </w:rPr>
  </w:style>
  <w:style w:type="paragraph" w:styleId="Contedodoquadro">
    <w:name w:val="Conteúdo do quadro"/>
    <w:basedOn w:val="Normal"/>
    <w:qFormat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99"/>
    <w:rsid w:val="00cd07f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jusbrasil.com.br/legislacao/anotada/9246480/art-1-da-lei-5502-10-canoas" TargetMode="External"/><Relationship Id="rId3" Type="http://schemas.openxmlformats.org/officeDocument/2006/relationships/hyperlink" Target="http://www.jusbrasil.com.br/legislacao/anotada/9246006/art-2-da-lei-5502-10-canoas" TargetMode="External"/><Relationship Id="rId4" Type="http://schemas.openxmlformats.org/officeDocument/2006/relationships/hyperlink" Target="http://www.jusbrasil.com.br/legislacao/anotada/9245998/art-3-da-lei-5502-10-canoas" TargetMode="External"/><Relationship Id="rId5" Type="http://schemas.openxmlformats.org/officeDocument/2006/relationships/hyperlink" Target="http://www.jusbrasil.com.br/legislacao/anotada/9245921/art-4-da-lei-5502-10-canoas" TargetMode="External"/><Relationship Id="rId6" Type="http://schemas.openxmlformats.org/officeDocument/2006/relationships/hyperlink" Target="http://www.jusbrasil.com.br/legislacao/anotada/9245876/art-5-da-lei-5502-10-canoas" TargetMode="External"/><Relationship Id="rId7" Type="http://schemas.openxmlformats.org/officeDocument/2006/relationships/hyperlink" Target="http://www.jusbrasil.com.br/legislacao/anotada/9245847/art-6-da-lei-5502-10-canoas" TargetMode="External"/><Relationship Id="rId8" Type="http://schemas.openxmlformats.org/officeDocument/2006/relationships/hyperlink" Target="http://www.jusbrasil.com.br/legislacao/anotada/9245828/art-7-da-lei-5502-10-canoas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secad@uruguaiana.rs.gov.br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secad@uruguaiana.rs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oleObject" Target="embeddings/oleObject2.bin"/><Relationship Id="rId3" Type="http://schemas.openxmlformats.org/officeDocument/2006/relationships/image" Target="media/image4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6D39D-50FA-4C4B-B900-E7847973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Application>LibreOffice/6.2.6.2$Windows_X86_64 LibreOffice_project/684e730861356e74889dfe6dbddd3562aae2e6ad</Application>
  <Pages>4</Pages>
  <Words>1324</Words>
  <Characters>7984</Characters>
  <CharactersWithSpaces>9276</CharactersWithSpaces>
  <Paragraphs>86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2022-05-06T18:01:00Z</dcterms:created>
  <dc:creator>PMU</dc:creator>
  <dc:description/>
  <dc:language>pt-BR</dc:language>
  <cp:lastModifiedBy/>
  <cp:lastPrinted>2022-05-06T18:44:00Z</cp:lastPrinted>
  <dcterms:modified xsi:type="dcterms:W3CDTF">2022-06-20T11:52:00Z</dcterms:modified>
  <cp:revision>13</cp:revision>
  <dc:subject/>
  <dc:title>Prefeitura Municipal de  Uruguaiana                                                            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