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overflowPunct w:val="false"/>
        <w:rPr>
          <w:rFonts w:ascii="Courier New" w:hAnsi="Courier New" w:cs="Courier New"/>
          <w:sz w:val="16"/>
          <w:szCs w:val="16"/>
        </w:rPr>
      </w:pPr>
      <w:r>
        <w:rPr>
          <w:rFonts w:cs="Courier New" w:ascii="Courier New" w:hAnsi="Courier New"/>
          <w:sz w:val="16"/>
          <w:szCs w:val="16"/>
        </w:rPr>
      </w:r>
    </w:p>
    <w:tbl>
      <w:tblPr>
        <w:tblW w:w="9919" w:type="dxa"/>
        <w:jc w:val="left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"/>
        <w:gridCol w:w="2009"/>
        <w:gridCol w:w="7875"/>
      </w:tblGrid>
      <w:tr>
        <w:trPr/>
        <w:tc>
          <w:tcPr>
            <w:tcW w:w="9919" w:type="dxa"/>
            <w:gridSpan w:val="3"/>
            <w:tcBorders/>
          </w:tcPr>
          <w:p>
            <w:pPr>
              <w:pStyle w:val="Standard"/>
              <w:widowControl w:val="false"/>
              <w:overflowPunct w:val="false"/>
              <w:jc w:val="center"/>
              <w:rPr>
                <w:rFonts w:ascii="Courier New" w:hAnsi="Courier New" w:cs="Courier New"/>
                <w:b/>
                <w:b/>
                <w:sz w:val="28"/>
                <w:szCs w:val="28"/>
              </w:rPr>
            </w:pPr>
            <w:r>
              <w:rPr>
                <w:rFonts w:cs="Courier New" w:ascii="Courier New" w:hAnsi="Courier New"/>
                <w:b/>
                <w:sz w:val="28"/>
                <w:szCs w:val="28"/>
              </w:rPr>
              <w:t>EMENDA DO PODER LEGISLATIVO AO PLOA</w:t>
            </w:r>
          </w:p>
        </w:tc>
      </w:tr>
      <w:tr>
        <w:trPr/>
        <w:tc>
          <w:tcPr>
            <w:tcW w:w="204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Nº. da Emenda</w:t>
            </w:r>
          </w:p>
        </w:tc>
        <w:tc>
          <w:tcPr>
            <w:tcW w:w="787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Courier New" w:hAnsi="Courier New" w:eastAsia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eastAsia="Courier New" w:cs="Courier New" w:ascii="Courier New" w:hAnsi="Courier New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eastAsia="Courier New" w:cs="Courier New" w:ascii="Courier New" w:hAnsi="Courier New"/>
                <w:b/>
                <w:bCs/>
                <w:sz w:val="20"/>
                <w:szCs w:val="20"/>
              </w:rPr>
              <w:t>Tipo da Emenda:</w:t>
            </w:r>
          </w:p>
        </w:tc>
      </w:tr>
      <w:tr>
        <w:trPr/>
        <w:tc>
          <w:tcPr>
            <w:tcW w:w="35" w:type="dxa"/>
            <w:tcBorders/>
            <w:tcMar>
              <w:left w:w="0" w:type="dxa"/>
              <w:right w:w="0" w:type="dxa"/>
            </w:tcMar>
          </w:tcPr>
          <w:p>
            <w:pPr>
              <w:pStyle w:val="Contedodatabela"/>
              <w:widowControl w:val="false"/>
              <w:snapToGrid w:val="false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875" w:type="dxa"/>
            <w:tcBorders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snapToGrid w:val="false"/>
              <w:rPr>
                <w:rFonts w:ascii="Courier New" w:hAnsi="Courier New" w:eastAsia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eastAsia="Courier New" w:cs="Courier New"/>
                <w:sz w:val="32"/>
                <w:szCs w:val="32"/>
              </w:rPr>
              <w:t xml:space="preserve">      </w:t>
            </w:r>
            <w:r>
              <w:rPr/>
              <w:commentReference w:id="0"/>
            </w:r>
            <w:r>
              <w:rPr>
                <w:rFonts w:eastAsia="Courier New" w:cs="Courier New"/>
                <w:sz w:val="28"/>
                <w:szCs w:val="28"/>
              </w:rPr>
              <w:t>MODIFICATIVA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59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9"/>
      </w:tblGrid>
      <w:tr>
        <w:trPr>
          <w:trHeight w:val="227" w:hRule="atLeast"/>
        </w:trPr>
        <w:tc>
          <w:tcPr>
            <w:tcW w:w="9859" w:type="dxa"/>
            <w:tcBorders/>
          </w:tcPr>
          <w:p>
            <w:pPr>
              <w:pStyle w:val="Standard"/>
              <w:widowControl w:val="false"/>
              <w:overflowPunct w:val="false"/>
              <w:rPr>
                <w:rFonts w:ascii="Courier New" w:hAnsi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bCs/>
                <w:sz w:val="20"/>
                <w:szCs w:val="20"/>
              </w:rPr>
              <w:t>Autor da Emenda: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lang w:bidi="ar-SA"/>
        </w:rPr>
      </w:pPr>
      <w:r>
        <w:rPr>
          <w:rFonts w:eastAsia="Times New Roman" w:cs="Times New Roman" w:ascii="Times New Roman" w:hAnsi="Times New Roman"/>
          <w:vanish/>
          <w:lang w:bidi="ar-SA"/>
        </w:rPr>
      </w:r>
    </w:p>
    <w:tbl>
      <w:tblPr>
        <w:tblW w:w="9922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/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Vereador José Clemente da Silva Corrêa - PDT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8"/>
        <w:gridCol w:w="7424"/>
      </w:tblGrid>
      <w:tr>
        <w:trPr>
          <w:trHeight w:val="227" w:hRule="atLeast"/>
        </w:trPr>
        <w:tc>
          <w:tcPr>
            <w:tcW w:w="9862" w:type="dxa"/>
            <w:gridSpan w:val="2"/>
            <w:tcBorders/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Órgão</w:t>
            </w:r>
          </w:p>
        </w:tc>
      </w:tr>
      <w:tr>
        <w:trPr/>
        <w:tc>
          <w:tcPr>
            <w:tcW w:w="243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8"/>
                <w:tab w:val="left" w:pos="142" w:leader="none"/>
              </w:tabs>
              <w:overflowPunct w:val="fals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Código</w:t>
            </w:r>
          </w:p>
        </w:tc>
        <w:tc>
          <w:tcPr>
            <w:tcW w:w="7424" w:type="dxa"/>
            <w:tcBorders/>
          </w:tcPr>
          <w:p>
            <w:pPr>
              <w:pStyle w:val="Textbody"/>
              <w:widowControl w:val="false"/>
              <w:tabs>
                <w:tab w:val="clear" w:pos="708"/>
                <w:tab w:val="left" w:pos="142" w:leader="none"/>
              </w:tabs>
              <w:overflowPunct w:val="fals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  <w:shd w:fill="FFFFFF" w:val="clear"/>
              </w:rPr>
            </w:pPr>
            <w:r>
              <w:rPr>
                <w:rFonts w:cs="Courier New" w:ascii="Times New Roman" w:hAnsi="Times New Roman"/>
                <w:sz w:val="24"/>
                <w:szCs w:val="24"/>
                <w:shd w:fill="FFFFFF" w:val="clear"/>
              </w:rPr>
              <w:t>10.305. 4150.4.230.000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Courier New" w:ascii="Times New Roman" w:hAnsi="Times New Roman"/>
                <w:sz w:val="24"/>
                <w:szCs w:val="24"/>
                <w:shd w:fill="FFFFFF" w:val="clear"/>
              </w:rPr>
              <w:t>Vigilância Epidemiológica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"/>
        <w:gridCol w:w="8905"/>
      </w:tblGrid>
      <w:tr>
        <w:trPr/>
        <w:tc>
          <w:tcPr>
            <w:tcW w:w="9862" w:type="dxa"/>
            <w:gridSpan w:val="2"/>
            <w:tcBorders/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Unidade Orçamentária</w:t>
            </w:r>
          </w:p>
        </w:tc>
      </w:tr>
      <w:tr>
        <w:trPr/>
        <w:tc>
          <w:tcPr>
            <w:tcW w:w="957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Código</w:t>
            </w:r>
          </w:p>
        </w:tc>
        <w:tc>
          <w:tcPr>
            <w:tcW w:w="8905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8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Fundo Municipal de Saúde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3"/>
        <w:gridCol w:w="1989"/>
        <w:gridCol w:w="2662"/>
        <w:gridCol w:w="3628"/>
      </w:tblGrid>
      <w:tr>
        <w:trPr>
          <w:trHeight w:val="169" w:hRule="atLeast"/>
        </w:trPr>
        <w:tc>
          <w:tcPr>
            <w:tcW w:w="1583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Função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Subfunção</w:t>
            </w:r>
          </w:p>
        </w:tc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Programa</w:t>
            </w:r>
          </w:p>
        </w:tc>
        <w:tc>
          <w:tcPr>
            <w:tcW w:w="362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Ação</w:t>
            </w:r>
          </w:p>
        </w:tc>
      </w:tr>
      <w:tr>
        <w:trPr/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Vigilância Epidemiológica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Vacinação, vigilância das doenças, educação em saúde venção, seminários. Realizar Vigilância da água para consumo humano. Identificar, notificar, prevenir, educar para diminuir a mortalidade infantil e a incidência das doenças de notificação compulsória, bem como epidemias.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Descrição do Programa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Descrição da Ação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Vacinação, vigilância das doenças, educação em saúde venção, seminários. Realizar Vigilância da água para consumo humano. Identificar, notificar, prevenir, educar para diminuir a mortalidade infantil e a incidência das doenças de notificação compulsória, bem como epidemias.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Detalhamento da Ação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widowControl w:val="false"/>
              <w:overflowPunct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tulo2"/>
              <w:widowControl w:val="false"/>
              <w:overflowPunct w:val="false"/>
              <w:spacing w:before="0" w:after="0"/>
              <w:ind w:left="0" w:hanging="0"/>
              <w:rPr>
                <w:rFonts w:cs="Courier New"/>
                <w:lang w:val="pt-BR"/>
              </w:rPr>
            </w:pPr>
            <w:r>
              <w:rPr>
                <w:rFonts w:cs="Courier New"/>
                <w:lang w:val="pt-BR"/>
              </w:rPr>
              <w:t>Texto Proposto: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lang w:bidi="ar-SA"/>
        </w:rPr>
      </w:pPr>
      <w:r>
        <w:rPr>
          <w:rFonts w:eastAsia="Times New Roman" w:cs="Times New Roman" w:ascii="Times New Roman" w:hAnsi="Times New Roman"/>
          <w:vanish/>
          <w:lang w:bidi="ar-SA"/>
        </w:rPr>
      </w:r>
    </w:p>
    <w:tbl>
      <w:tblPr>
        <w:tblW w:w="10073" w:type="dxa"/>
        <w:jc w:val="left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73"/>
      </w:tblGrid>
      <w:tr>
        <w:trPr/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Vacinação, vigilância das doenças, educação em saúde venção, seminários. Realizar Vigilância da água para consumo humano. Identificar, notificar, prevenir, educar para diminuir a mortalidade infantil e a incidência das doenças de notificação compulsória, bem como epidemias.  </w:t>
            </w:r>
            <w:r>
              <w:rPr>
                <w:b/>
                <w:bCs w:val="false"/>
              </w:rPr>
              <w:t>Investimento e construção de centro especializado de monitoramento e prevenção à dengue e aos casos de endemia/pandemia através do trabalho e participação dos ACE e profissionais da saúde. Garantia de equipamentos, insumos e recursos e cursos de formação e qualificação profissional para os Agentes Comunitários de Saúde e Agentes de Combate a endemias. Investir em veículos, equipamentos, recursos materiais e tecnológicos. Promover campanhas, seminário e eventos junto à comunidade e as escolas públicas.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922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Standard"/>
              <w:widowControl w:val="false"/>
              <w:overflowPunct w:val="fals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  <w:shd w:fill="C0C0C0" w:val="clear"/>
              </w:rPr>
              <w:t>Emendas geradoras de custos e suas respectivas compensações: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b/>
          <w:b/>
          <w:sz w:val="20"/>
          <w:szCs w:val="20"/>
          <w:shd w:fill="C0C0C0" w:val="clear"/>
        </w:rPr>
      </w:pPr>
      <w:r>
        <w:rPr>
          <w:rFonts w:cs="Courier New" w:ascii="Courier New" w:hAnsi="Courier New"/>
          <w:b/>
          <w:sz w:val="20"/>
          <w:szCs w:val="20"/>
          <w:shd w:fill="C0C0C0" w:val="clear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4650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Acréscimos à Programação                                (R$ 1,00)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Natureza da Despesa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Acréscimo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R$</w:t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fals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4650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Cancelamentos Compensatórios                            (R$ 1,00)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Natureza da Despesa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Acréscimo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R$</w:t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fals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10349" w:type="dxa"/>
        <w:jc w:val="left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/>
        <w:tc>
          <w:tcPr>
            <w:tcW w:w="10349" w:type="dxa"/>
            <w:tcBorders/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Justificativa: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overflowPunct w:val="false"/>
              <w:spacing w:lineRule="auto" w:line="360"/>
              <w:ind w:left="0" w:hanging="0"/>
              <w:rPr>
                <w:rStyle w:val="Field"/>
                <w:sz w:val="24"/>
                <w:szCs w:val="24"/>
              </w:rPr>
            </w:pPr>
            <w:r>
              <w:rPr>
                <w:sz w:val="24"/>
                <w:szCs w:val="24"/>
              </w:rPr>
              <w:t>A Organização Mundial de Saúde (OMS)publicou, em 21/07/2023,a matéria intitulada “</w:t>
            </w:r>
            <w:r>
              <w:rPr>
                <w:rStyle w:val="Field"/>
                <w:sz w:val="24"/>
                <w:szCs w:val="24"/>
              </w:rPr>
              <w:t>Brasil é o país mais afetado em novo surto de dengue nas Américas”, em que afirma que “</w:t>
            </w:r>
            <w:r>
              <w:rPr>
                <w:bCs/>
                <w:sz w:val="24"/>
                <w:szCs w:val="24"/>
                <w:shd w:fill="F2F2F2" w:val="clear"/>
              </w:rPr>
              <w:t> de janeiro a junho de 2023 o Brasil lidera o ranking com 2,3 milhões de ocorrências da doença e 769 mortes</w:t>
            </w:r>
            <w:r>
              <w:rPr>
                <w:rStyle w:val="Field"/>
                <w:sz w:val="24"/>
                <w:szCs w:val="24"/>
              </w:rPr>
              <w:t>”.(Fonte: https://news.un.org/pt/story/2023/07/1817882)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ind w:left="0" w:hanging="0"/>
              <w:contextualSpacing w:val="false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Em Uruguaiana,  o Jornal Cidade, em 19/06/2023, afirmou que o</w:t>
            </w:r>
            <w:r>
              <w:rPr>
                <w:rFonts w:ascii="Arial" w:hAnsi="Arial"/>
                <w:szCs w:val="24"/>
                <w:shd w:fill="FFFFFF" w:val="clear"/>
              </w:rPr>
              <w:t xml:space="preserve"> “Setor de Vigilância Ambiental em Saúde chama atenção da comunidade para os números relacionados à Dengue.  O último Levantamento Rápido de Índice do Aedes Aegypti (LIRAa), apontou que 2.374 imóveis foram vistoriados em cinco dias de trabalho e o índice de infestação predial (IIP) foi de 9,4%. A porcentagem é considerada de risco para a ocorrência de Dengue, Zika e Chikungunya”, demonstrando a necessidade de fortalecimento das ações de prevenção</w:t>
            </w:r>
            <w:bookmarkStart w:id="0" w:name="_GoBack"/>
            <w:bookmarkEnd w:id="0"/>
            <w:r>
              <w:rPr>
                <w:rFonts w:ascii="Arial" w:hAnsi="Arial"/>
                <w:szCs w:val="24"/>
                <w:shd w:fill="FFFFFF" w:val="clear"/>
              </w:rPr>
              <w:t xml:space="preserve"> e combate a dengue em nossa cidade.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ind w:left="0" w:hanging="0"/>
              <w:contextualSpacing w:val="false"/>
              <w:jc w:val="both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szCs w:val="24"/>
                <w:shd w:fill="FFFFFF" w:val="clear"/>
              </w:rPr>
              <w:t>O Vereador José Clemente da Silva Corrêa (PDT) entende que é fundamental</w:t>
            </w:r>
            <w:r>
              <w:rPr>
                <w:rFonts w:ascii="Arial" w:hAnsi="Arial"/>
                <w:b w:val="false"/>
                <w:bCs w:val="false"/>
                <w:szCs w:val="24"/>
                <w:shd w:fill="FFFFFF" w:val="clear"/>
              </w:rPr>
              <w:t xml:space="preserve"> que Vigilância Epidemiológica conte com recursos necessários humanos, materiais e tecnológicos para o trabalho da Vigilância.</w:t>
            </w:r>
          </w:p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134" w:right="850" w:gutter="0" w:header="397" w:top="454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3540" w:right="-100" w:firstLine="708"/>
        <w:jc w:val="center"/>
        <w:rPr>
          <w:rFonts w:ascii="Arial" w:hAnsi="Arial"/>
        </w:rPr>
      </w:pPr>
      <w:r>
        <w:rPr>
          <w:rFonts w:ascii="Arial" w:hAnsi="Arial"/>
        </w:rPr>
        <w:t>Vereador José Clemente da Silva Corrêa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</w:rPr>
        <w:t xml:space="preserve">                                                                                                </w:t>
      </w:r>
      <w:r>
        <w:rPr>
          <w:rFonts w:ascii="Arial" w:hAnsi="Arial"/>
        </w:rPr>
        <w:t>Bancada do PDT</w:t>
      </w:r>
    </w:p>
    <w:sectPr>
      <w:type w:val="continuous"/>
      <w:pgSz w:w="11906" w:h="16838"/>
      <w:pgMar w:left="1134" w:right="850" w:gutter="0" w:header="397" w:top="454" w:footer="0" w:bottom="280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utor desconhecido" w:date="2022-09-02T15:56:00Z" w:initials="Autor des">
    <w:p>
      <w:r>
        <w:rPr>
          <w:rFonts w:eastAsia="Segoe UI" w:cs="Tahoma"/>
          <w:kern w:val="0"/>
          <w:sz w:val="21"/>
          <w:lang w:val="en-US" w:eastAsia="en-US" w:bidi="en-US"/>
        </w:rPr>
        <w:t>I –  Emenda supressiva é a que manda suprimir, em parte ou no todo, o artigo, o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II –  Emenda substitutiva é a que substitui parte ou todo o artigo,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III –  Emenda aditiva é a que deve ser acrescentada aos termos do artigo,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IV –  Emenda modificativa é a que se refere apenas à redação do artigo, parágrafo, inciso, alínea ou item sem alterar sua substância.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Courier New"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sz w:val="20"/>
        <w:szCs w:val="20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61595</wp:posOffset>
          </wp:positionH>
          <wp:positionV relativeFrom="paragraph">
            <wp:posOffset>-78105</wp:posOffset>
          </wp:positionV>
          <wp:extent cx="626110" cy="53975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5447665</wp:posOffset>
          </wp:positionH>
          <wp:positionV relativeFrom="paragraph">
            <wp:posOffset>-17145</wp:posOffset>
          </wp:positionV>
          <wp:extent cx="624205" cy="46672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8" t="-50" r="-38" b="-50"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PODER LEGISLATIVO</w:t>
    </w:r>
  </w:p>
  <w:p>
    <w:pPr>
      <w:pStyle w:val="Cabealho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CÂMARA MUNICIPAL DE URUGUAIANA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PALÁCIO BORGES DE MEDEIROS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GABINETE DO VEREADOR JOSÉ CLEMENTE DA SILVA CORRÊA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rFonts w:ascii="Courier New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Standard"/>
    <w:next w:val="Textbody"/>
    <w:qFormat/>
    <w:pPr>
      <w:spacing w:before="10" w:after="120"/>
      <w:ind w:left="234" w:hanging="0"/>
      <w:outlineLvl w:val="1"/>
    </w:pPr>
    <w:rPr>
      <w:rFonts w:ascii="Courier New" w:hAnsi="Courier New" w:eastAsia="Courier New"/>
      <w:b/>
      <w:bCs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orpodetextoChar" w:customStyle="1">
    <w:name w:val="Corpo de texto Char"/>
    <w:qFormat/>
    <w:rPr>
      <w:rFonts w:ascii="Arial" w:hAnsi="Arial" w:eastAsia="Times New Roman" w:cs="Arial"/>
      <w:sz w:val="12"/>
      <w:szCs w:val="12"/>
    </w:rPr>
  </w:style>
  <w:style w:type="character" w:styleId="Ttulo2Char" w:customStyle="1">
    <w:name w:val="Título 2 Char"/>
    <w:qFormat/>
    <w:rPr>
      <w:rFonts w:ascii="Courier New" w:hAnsi="Courier New" w:eastAsia="Courier New" w:cs="Courier New"/>
      <w:b/>
      <w:bCs/>
      <w:lang w:val="en-US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rong" w:customStyle="1">
    <w:name w:val="Strong"/>
    <w:qFormat/>
    <w:rPr>
      <w:b/>
      <w:bCs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ield" w:customStyle="1">
    <w:name w:val="field"/>
    <w:basedOn w:val="DefaultParagraphFont"/>
    <w:qFormat/>
    <w:rsid w:val="00616518"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ind w:left="241" w:hanging="0"/>
    </w:pPr>
    <w:rPr>
      <w:rFonts w:ascii="Arial" w:hAnsi="Arial" w:cs="Arial"/>
      <w:sz w:val="12"/>
      <w:szCs w:val="12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Standard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rFonts w:cs="Mangal"/>
      <w:sz w:val="20"/>
      <w:szCs w:val="18"/>
    </w:rPr>
  </w:style>
  <w:style w:type="paragraph" w:styleId="ListParagraph">
    <w:name w:val="List Paragraph"/>
    <w:basedOn w:val="Normal"/>
    <w:uiPriority w:val="34"/>
    <w:qFormat/>
    <w:rsid w:val="00570a18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LibreOffice/7.3.7.2$Windows_X86_64 LibreOffice_project/e114eadc50a9ff8d8c8a0567d6da8f454beeb84f</Application>
  <AppVersion>15.0000</AppVersion>
  <Pages>2</Pages>
  <Words>468</Words>
  <Characters>2795</Characters>
  <CharactersWithSpaces>3378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2023-10-29T15:20:00Z</dcterms:created>
  <dc:creator>Usuario</dc:creator>
  <dc:description/>
  <dc:language>pt-BR</dc:language>
  <cp:lastModifiedBy/>
  <cp:lastPrinted>2023-10-29T15:20:00Z</cp:lastPrinted>
  <dcterms:modified xsi:type="dcterms:W3CDTF">2023-11-08T10:46:46Z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