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overflowPunct w:val="true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tbl>
      <w:tblPr>
        <w:tblW w:w="99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"/>
        <w:gridCol w:w="2008"/>
        <w:gridCol w:w="7875"/>
      </w:tblGrid>
      <w:tr>
        <w:trPr/>
        <w:tc>
          <w:tcPr>
            <w:tcW w:w="9919" w:type="dxa"/>
            <w:gridSpan w:val="3"/>
            <w:tcBorders/>
          </w:tcPr>
          <w:p>
            <w:pPr>
              <w:pStyle w:val="Standard"/>
              <w:widowControl w:val="false"/>
              <w:overflowPunct w:val="true"/>
              <w:jc w:val="center"/>
              <w:rPr>
                <w:rFonts w:ascii="Courier New" w:hAnsi="Courier New" w:cs="Courier New"/>
                <w:b/>
                <w:b/>
                <w:sz w:val="28"/>
                <w:szCs w:val="28"/>
              </w:rPr>
            </w:pPr>
            <w:r>
              <w:rPr>
                <w:rFonts w:cs="Courier New" w:ascii="Courier New" w:hAnsi="Courier New"/>
                <w:b/>
                <w:sz w:val="28"/>
                <w:szCs w:val="28"/>
              </w:rPr>
              <w:t>EMENDA DO PODER LEGISLATIVO AO PLOA</w:t>
            </w:r>
          </w:p>
        </w:tc>
      </w:tr>
      <w:tr>
        <w:trPr/>
        <w:tc>
          <w:tcPr>
            <w:tcW w:w="204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Nº. da Emenda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>Tipo da Emenda:</w:t>
            </w:r>
          </w:p>
        </w:tc>
      </w:tr>
      <w:tr>
        <w:trPr/>
        <w:tc>
          <w:tcPr>
            <w:tcW w:w="36" w:type="dxa"/>
            <w:tcBorders/>
            <w:tcMar>
              <w:left w:w="0" w:type="dxa"/>
              <w:right w:w="0" w:type="dxa"/>
            </w:tcMar>
          </w:tcPr>
          <w:p>
            <w:pPr>
              <w:pStyle w:val="Contedodatabela"/>
              <w:widowControl w:val="false"/>
              <w:snapToGrid w:val="false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/>
                <w:sz w:val="32"/>
                <w:szCs w:val="32"/>
              </w:rPr>
              <w:t xml:space="preserve">      </w:t>
            </w:r>
            <w:r>
              <w:rPr/>
              <w:commentReference w:id="0"/>
            </w:r>
            <w:r>
              <w:rPr>
                <w:rFonts w:eastAsia="Courier New" w:cs="Courier New"/>
                <w:sz w:val="28"/>
                <w:szCs w:val="28"/>
              </w:rPr>
              <w:t>MODIFICATIVA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59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>
          <w:trHeight w:val="227" w:hRule="atLeast"/>
        </w:trPr>
        <w:tc>
          <w:tcPr>
            <w:tcW w:w="9859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bCs/>
                <w:sz w:val="20"/>
                <w:szCs w:val="20"/>
              </w:rPr>
              <w:t>Autor da Emenda: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Vereador José Clemente da Silva Corrêa - PDT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7424"/>
      </w:tblGrid>
      <w:tr>
        <w:trPr>
          <w:trHeight w:val="227" w:hRule="atLeast"/>
        </w:trPr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Órgão</w:t>
            </w:r>
          </w:p>
        </w:tc>
      </w:tr>
      <w:tr>
        <w:trPr/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7424" w:type="dxa"/>
            <w:tcBorders/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10.301.4156.4.236.000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tabs>
                <w:tab w:val="clear" w:pos="708"/>
                <w:tab w:val="left" w:pos="889" w:leader="none"/>
              </w:tabs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</w:rPr>
              <w:t>Melhoria do Acesso e Qualidade da Atenção Básica e Investimento em Infraestrutura, melhoria, ampliação e modernização de Unidades Básicas de Saúde e Investimento em infraestrutura, melhoria, ampliação</w:t>
            </w: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8904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Unidade Orçamentária</w:t>
            </w:r>
          </w:p>
        </w:tc>
      </w:tr>
      <w:tr>
        <w:trPr/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8904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Fundo Municipal de Saúde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1989"/>
        <w:gridCol w:w="2662"/>
        <w:gridCol w:w="3628"/>
      </w:tblGrid>
      <w:tr>
        <w:trPr>
          <w:trHeight w:val="169" w:hRule="atLeast"/>
        </w:trPr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Função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Subfunção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Programa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Ação</w:t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Financiamento e Manutenção da Secretaria Municipal de Saúde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Melhoria do Acesso e Qualidade da Atenção Básica e Investimento em Infraestrutura, melhoria, ampliação e modernização de Unidades Básicas de Saúde e Investimento em infraestrutura, melhoria, ampliação. Melhoria do Acesso e Qualidade da Atenção Básica e Investimento em infraestrutura, melhoria, ampliação e modernização de Unidades Básicas de Saúde.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do Programa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Melhoria do Acesso e Qualidade da Atenção Básica e Investimento em Infraestrutura, melhoria, ampliação e modernização de Unidades Básicas de Saúde e Investimento em infraestrutura, melhoria, ampliação. Melhoria do Acesso e Qualidade da Atenção Básica e Investimento em infraestrutura, melhoria, ampliação e modernização de Unidades Básicas de Saúde.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Detalhamento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widowControl w:val="false"/>
              <w:overflowPunct w:val="tru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tulo2"/>
              <w:widowControl w:val="false"/>
              <w:overflowPunct w:val="true"/>
              <w:spacing w:before="0" w:after="0"/>
              <w:ind w:left="0" w:hanging="0"/>
              <w:rPr>
                <w:rFonts w:cs="Courier New"/>
                <w:lang w:val="pt-BR"/>
              </w:rPr>
            </w:pPr>
            <w:r>
              <w:rPr>
                <w:rFonts w:cs="Courier New"/>
                <w:lang w:val="pt-BR"/>
              </w:rPr>
              <w:t>Texto Proposto: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10073" w:type="dxa"/>
        <w:jc w:val="left"/>
        <w:tblInd w:w="-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3"/>
      </w:tblGrid>
      <w:tr>
        <w:trPr/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 xml:space="preserve">Melhoria do Acesso e Qualidade da Atenção Básica e Investimento em Infraestrutura, melhoria, ampliação e modernização de Unidades Básicas de Saúde e Investimento em infraestrutura, melhoria, ampliação. Melhoria do Acesso e Qualidade da Atenção Básica e Investimento em Infraestrutura, melhoria, ampliação e modernização de Unidades Básicas de Saúde e Investimento em infraestrutura, melhoria, ampliação. Melhoria do Acesso e Qualidade da Atenção Básica e Investimento em infraestrutura, melhoria, ampliação e modernização de Unidades Básicas de Saúde. </w:t>
            </w:r>
            <w:r>
              <w:rPr>
                <w:b/>
              </w:rPr>
              <w:t>Investimento em reforma, ampliação, construção e modernização de Unidades Básicas de Saúde. Reforma e melhoria da Unidade Básica da Saúde –ESF 04 (Bairro COHAB I – Alexandre Zachia), da Unidade Básica de Saúde – ESF 22 (Bairro Cabo Luiz Quevedo) e da Unidade Básica de Saúde – ESF 06 (Bairro São João), da Unidade Básica de Saúde – ESF 20 – CAIC. Garantia de recursos, insumos e equipamentos para o pleno e humanizado atendimento à população. Modernização dos recursos, equipamentos, veículos e da estrutura administrativa e operacional da Secretaria Municipal de Saúde.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  <w:shd w:fill="C0C0C0" w:val="clear"/>
              </w:rPr>
              <w:t>Emendas geradoras de custos e suas respectivas compensações: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sz w:val="20"/>
          <w:szCs w:val="20"/>
          <w:shd w:fill="C0C0C0" w:val="clear"/>
        </w:rPr>
      </w:pPr>
      <w:r>
        <w:rPr>
          <w:rFonts w:cs="Courier New" w:ascii="Courier New" w:hAnsi="Courier New"/>
          <w:b/>
          <w:sz w:val="20"/>
          <w:szCs w:val="20"/>
          <w:shd w:fill="C0C0C0" w:val="clear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Acréscimos à Programação    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Cancelamentos Compensatórios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Justificativa: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hd w:fill="FFFFFF" w:val="clear"/>
              </w:rPr>
            </w:pPr>
            <w:r>
              <w:rPr>
                <w:rFonts w:ascii="Arial" w:hAnsi="Arial"/>
              </w:rPr>
              <w:t>1.O  Art. 196, da Constituição da República Federativa do Brasil (1988) afirma que “</w:t>
            </w:r>
            <w:r>
              <w:rPr>
                <w:rFonts w:ascii="Arial" w:hAnsi="Arial"/>
                <w:shd w:fill="FFFFFF" w:val="clear"/>
              </w:rPr>
              <w:t>saúde é direito de todos e dever do Estado, garantido mediante políticas sociais e econômicas que visem à redução do risco de doença e de outros agravos e ao acesso universal e igualitário às ações e serviços para sua promoção, proteção e recuperação”, demonstrando o  compromissos do Estado Brasileiro com a saúde da população e a garantia de atendimento público, humanizado e de qualidade.</w:t>
            </w:r>
          </w:p>
          <w:p>
            <w:pPr>
              <w:pStyle w:val="ListParagraph"/>
              <w:widowControl w:val="false"/>
              <w:spacing w:lineRule="auto" w:line="360"/>
              <w:jc w:val="both"/>
              <w:rPr>
                <w:rFonts w:ascii="Arial" w:hAnsi="Arial"/>
                <w:shd w:fill="FFFFFF" w:val="clear"/>
              </w:rPr>
            </w:pPr>
            <w:r>
              <w:rPr>
                <w:rFonts w:ascii="Arial" w:hAnsi="Arial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2.O Vereador José Clemente da Silva Corrêa (PDT) destaca que durante o trabalho de fiscalização e acompanhamento do trabalho da  Unidade Básica da Saúde –ESF 04 (Bairro COHAB I – Alexandre Zachia), da Unidade Básica de Saúde – ESF 22 (Bairro Cabo Luiz Quevedo) e da Unidade Básica de Saúde – ESF 06 (Bairro São João), da Unidade Básica de Saúde – ESF 20 – CAIC percebeu a necessidade da reforma e melhoria dessas unidades básicas de saúde.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Com relação à Unidade Básica de Saúde – ESF 22 (Bairro Cabo Luiz Quevedo), o Vereador José Clemente da Silva Corrêa (PDT) constatou a necessidade de reforma e melhoria do espaç interno e do pátio da Unidade, inclusive levando em conta os aspectos de segurança. Já na Unidade Básica da Saúde –ESF 04 (Bairro COHAB I – Alexandre Zachia), o Vereador José Clemente da Silva Corrêa (PDT) constatou que a Unidade apresenta rachaduras no prédio e sério problemas de infiltração e alagamento nos dias de chuvas. Na Unidade Básica de Saúde – ESF 06 (Bairro São João), o Vereador José Clemente da Silva Corrêa (PDT) ressalta a importância da construção de mais um espaço físico para acolhimento e atendimento à população  (especialmente idosos) que recebe atividades de saúde através de educadores físicos e profissionais de saúde, sendo que a Unidade conta espaço na parte do fundo para essa finalidade. Já Unidade Básica de Saúde – ESF 20 – CAIC apresenta sérios problemas de infiltração e alagamentos nos dias de chuva, o que prejudica o atendimento à população e, por isso, é necessário reforma e a melhoria da Unidade.</w:t>
            </w:r>
          </w:p>
          <w:p>
            <w:pPr>
              <w:pStyle w:val="Textbody"/>
              <w:widowControl w:val="false"/>
              <w:overflowPunct w:val="true"/>
              <w:spacing w:lineRule="auto" w:line="360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Textbody"/>
        <w:tabs>
          <w:tab w:val="clear" w:pos="708"/>
          <w:tab w:val="left" w:pos="4111" w:leader="none"/>
        </w:tabs>
        <w:overflowPunct w:val="true"/>
        <w:ind w:left="3969" w:hanging="0"/>
        <w:jc w:val="center"/>
        <w:rPr>
          <w:rFonts w:ascii="Times New Roman" w:hAnsi="Times New Roman" w:cs="Courier New"/>
          <w:b/>
          <w:b/>
          <w:bCs/>
          <w:sz w:val="24"/>
          <w:szCs w:val="24"/>
        </w:rPr>
      </w:pPr>
      <w:r>
        <w:rPr>
          <w:rFonts w:cs="Courier New" w:ascii="Times New Roman" w:hAnsi="Times New Roman"/>
          <w:b/>
          <w:bCs/>
          <w:sz w:val="24"/>
          <w:szCs w:val="24"/>
        </w:rPr>
        <w:t>Vereador José Clemente da Silva Corrêa</w:t>
      </w:r>
    </w:p>
    <w:p>
      <w:pPr>
        <w:pStyle w:val="Textbody"/>
        <w:tabs>
          <w:tab w:val="clear" w:pos="708"/>
          <w:tab w:val="left" w:pos="4111" w:leader="none"/>
        </w:tabs>
        <w:overflowPunct w:val="true"/>
        <w:ind w:left="3969" w:hanging="0"/>
        <w:jc w:val="center"/>
        <w:rPr>
          <w:rFonts w:ascii="Times New Roman" w:hAnsi="Times New Roman" w:cs="Courier New"/>
          <w:sz w:val="20"/>
          <w:szCs w:val="20"/>
        </w:rPr>
      </w:pPr>
      <w:r>
        <w:rPr>
          <w:rFonts w:cs="Courier New" w:ascii="Times New Roman" w:hAnsi="Times New Roman"/>
          <w:sz w:val="20"/>
          <w:szCs w:val="20"/>
        </w:rPr>
        <w:t>Bancado do PDT</w:t>
      </w:r>
    </w:p>
    <w:sectPr>
      <w:headerReference w:type="default" r:id="rId2"/>
      <w:type w:val="nextPage"/>
      <w:pgSz w:w="11906" w:h="16838"/>
      <w:pgMar w:left="1134" w:right="851" w:gutter="0" w:header="397" w:top="454" w:footer="0" w:bottom="278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hecido" w:date="2022-09-02T15:56:00Z" w:initials="Autor des">
    <w:p>
      <w:r>
        <w:rPr>
          <w:rFonts w:eastAsia="Segoe UI" w:cs="Tahoma"/>
          <w:kern w:val="0"/>
          <w:sz w:val="21"/>
          <w:lang w:val="en-US" w:eastAsia="en-US" w:bidi="en-US"/>
        </w:rPr>
        <w:t>I –  Emenda supressiva é a que manda suprimir, em parte ou no todo, o artigo, o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 –  Emenda substitutiva é a que substitui parte ou todo 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III –  Emenda aditiva é a que deve ser acrescentada aos termos do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IV –  Emenda modificativa é a que se refere apenas à redação do artigo, parágrafo, inciso, alínea ou item sem alterar sua substância.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26110" cy="53975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5447665</wp:posOffset>
          </wp:positionH>
          <wp:positionV relativeFrom="paragraph">
            <wp:posOffset>-17145</wp:posOffset>
          </wp:positionV>
          <wp:extent cx="624205" cy="46672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50" r="-38" b="-50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PODER LEGISLATIVO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CÂMARA MUNICIPAL DE URUGUAIANA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PALÁCIO BORGES DE MEDEIROS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GABINETE DO VEREADOR JOSÉ CLEMENTE DA SILVA CORRÊA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Standard"/>
    <w:next w:val="Textbody"/>
    <w:qFormat/>
    <w:pPr>
      <w:spacing w:before="10" w:after="120"/>
      <w:ind w:left="234" w:hanging="0"/>
      <w:outlineLvl w:val="1"/>
    </w:pPr>
    <w:rPr>
      <w:rFonts w:ascii="Courier New" w:hAnsi="Courier New" w:eastAsia="Courier New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orpodetextoChar" w:customStyle="1">
    <w:name w:val="Corpo de texto Char"/>
    <w:qFormat/>
    <w:rPr>
      <w:rFonts w:ascii="Arial" w:hAnsi="Arial" w:eastAsia="Times New Roman" w:cs="Arial"/>
      <w:sz w:val="12"/>
      <w:szCs w:val="12"/>
    </w:rPr>
  </w:style>
  <w:style w:type="character" w:styleId="Ttulo2Char" w:customStyle="1">
    <w:name w:val="Título 2 Char"/>
    <w:qFormat/>
    <w:rPr>
      <w:rFonts w:ascii="Courier New" w:hAnsi="Courier New" w:eastAsia="Courier New" w:cs="Courier New"/>
      <w:b/>
      <w:bCs/>
      <w:lang w:val="en-US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faseforte" w:customStyle="1">
    <w:name w:val="Ênfase forte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ind w:left="241" w:hanging="0"/>
    </w:pPr>
    <w:rPr>
      <w:rFonts w:ascii="Arial" w:hAnsi="Arial" w:cs="Arial"/>
      <w:sz w:val="12"/>
      <w:szCs w:val="1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570a1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LibreOffice/7.3.7.2$Windows_X86_64 LibreOffice_project/e114eadc50a9ff8d8c8a0567d6da8f454beeb84f</Application>
  <AppVersion>15.0000</AppVersion>
  <Pages>3</Pages>
  <Words>741</Words>
  <Characters>4150</Characters>
  <CharactersWithSpaces>4929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2023-10-29T19:23:00Z</dcterms:created>
  <dc:creator>Usuario</dc:creator>
  <dc:description/>
  <dc:language>pt-BR</dc:language>
  <cp:lastModifiedBy/>
  <cp:lastPrinted>2023-10-29T19:30:00Z</cp:lastPrinted>
  <dcterms:modified xsi:type="dcterms:W3CDTF">2023-11-08T10:39:41Z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